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7391x2_sctota_100-sctota_pg1"/>
      <w:bookmarkStart w:id="1" w:name="ny20077391x2_sctota.htm"/>
      <w:bookmarkStart w:id="2" w:name="ksny20077391x2_sctot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Tender Offer Statement under Section 14(d)(1) or 13(e)(1)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Securities Exchange Act of 1934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2)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Subject Company (Issuer)) </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ACQUISITION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direct wholly-owned subsidiary of </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LABS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(Names of Filing Persons (identifying status as offeror, issuer or other person))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$0.001 Par Value Per Share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(Title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128058302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(CUSIP Number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Mark Land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1980 Post Oak Blvd, Suite 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77056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Telephone: (917) 202-1954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address, and telephone numbers of person authorized to receive notices and communications on behalf of filing persons) </w:t>
      </w:r>
    </w:p>
    <w:p>
      <w:pPr>
        <w:pStyle w:val="TextBody"/>
        <w:bidi w:val="0"/>
        <w:spacing w:before="13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Anne G. Peetz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Reed Smith LLP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1221 McKinney Street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Houston, Texas 77010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val="false"/>
          <w:caps w:val="false"/>
          <w:smallCaps w:val="false"/>
          <w:color w:val="000000"/>
          <w:sz w:val="20"/>
        </w:rPr>
        <w:t>Telephone: (713) 469-3800</w:t>
      </w:r>
      <w:r>
        <w:rPr>
          <w:rFonts w:ascii="Times New Roman;Times;serif" w:hAnsi="Times New Roman;Times;serif"/>
          <w:b/>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color w:val="000000"/>
              </w:rPr>
            </w:pPr>
            <w:r>
              <w:rPr>
                <w:color w:val="000000"/>
              </w:rPr>
              <w:t>☒</w:t>
            </w:r>
          </w:p>
        </w:tc>
        <w:tc>
          <w:tcPr>
            <w:tcW w:w="9975"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Check the box if any part of the fee is offset as provided by Rule 0-11(a)(2) and identify the filing with which the offsetting fee was previously paid. Identify the previous filing by registration statement number, or the form or schedule and the date of its filing. </w:t>
            </w:r>
          </w:p>
        </w:tc>
      </w:tr>
    </w:tbl>
    <w:tbl>
      <w:tblPr>
        <w:tblW w:w="8165" w:type="dxa"/>
        <w:jc w:val="left"/>
        <w:tblInd w:w="0" w:type="dxa"/>
        <w:tblLayout w:type="fixed"/>
        <w:tblCellMar>
          <w:top w:w="0" w:type="dxa"/>
          <w:left w:w="0" w:type="dxa"/>
          <w:bottom w:w="0" w:type="dxa"/>
          <w:right w:w="0" w:type="dxa"/>
        </w:tblCellMar>
      </w:tblPr>
      <w:tblGrid>
        <w:gridCol w:w="3380"/>
        <w:gridCol w:w="140"/>
        <w:gridCol w:w="140"/>
        <w:gridCol w:w="4505"/>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Previously Paid: $4,443.40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Party:  Lisata Therapeutics, Inc. / Kuva Labs Inc.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or Registration No.: Schedule TO-T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 June 10, 2026</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color w:val="000000"/>
              </w:rPr>
            </w:pPr>
            <w:r>
              <w:rPr>
                <w:color w:val="000000"/>
              </w:rPr>
              <w:t> ☐</w:t>
            </w:r>
          </w:p>
        </w:tc>
        <w:tc>
          <w:tcPr>
            <w:tcW w:w="99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Check the box if the filing relates solely to preliminary communications made before the commencement of a tender offer. </w:t>
            </w:r>
          </w:p>
        </w:tc>
      </w:tr>
    </w:tbl>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boxes below to designate any transactions to which the statement relates: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tender offer subject to Rule 14d-1. </w:t>
            </w:r>
          </w:p>
        </w:tc>
      </w:tr>
    </w:tbl>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color w:val="000000"/>
              </w:rPr>
            </w:pPr>
            <w:r>
              <w:rPr>
                <w:color w:val="000000"/>
              </w:rPr>
              <w:t> ☐</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Issuer tender offer subject to Rule 13e-4. </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color w:val="000000"/>
              </w:rPr>
            </w:pPr>
            <w:r>
              <w:rPr>
                <w:color w:val="000000"/>
              </w:rPr>
              <w:t> ☐</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Going-private transaction subject to Rule 13e-3. </w:t>
            </w:r>
          </w:p>
        </w:tc>
      </w:tr>
    </w:tbl>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0"/>
              <w:jc w:val="left"/>
              <w:rPr>
                <w:color w:val="000000"/>
              </w:rPr>
            </w:pPr>
            <w:r>
              <w:rPr>
                <w:color w:val="000000"/>
              </w:rPr>
              <w:t> ☐</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Amendment to Schedule 13D under Rule 13d-2.</w:t>
            </w:r>
          </w:p>
        </w:tc>
      </w:tr>
    </w:tbl>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following box if the filing is a final amendment reporting the results of the tender offer:  ☐ </w:t>
      </w:r>
    </w:p>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check the appropriate box(es) below to designate the appropriate rule provision(s) relied upon: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13e-4(i) (Cross-Border Issuer Tender Offer) </w:t>
            </w:r>
          </w:p>
        </w:tc>
      </w:tr>
    </w:tbl>
    <w:tbl>
      <w:tblPr>
        <w:tblW w:w="4750" w:type="dxa"/>
        <w:jc w:val="left"/>
        <w:tblInd w:w="0" w:type="dxa"/>
        <w:tblLayout w:type="fixed"/>
        <w:tblCellMar>
          <w:top w:w="0" w:type="dxa"/>
          <w:left w:w="0" w:type="dxa"/>
          <w:bottom w:w="0" w:type="dxa"/>
          <w:right w:w="0" w:type="dxa"/>
        </w:tblCellMar>
      </w:tblPr>
      <w:tblGrid>
        <w:gridCol w:w="275"/>
        <w:gridCol w:w="4475"/>
      </w:tblGrid>
      <w:tr>
        <w:trPr/>
        <w:tc>
          <w:tcPr>
            <w:tcW w:w="275" w:type="dxa"/>
            <w:tcBorders/>
            <w:vAlign w:val="center"/>
          </w:tcPr>
          <w:p>
            <w:pPr>
              <w:pStyle w:val="TableContents"/>
              <w:bidi w:val="0"/>
              <w:spacing w:before="0" w:after="0"/>
              <w:jc w:val="left"/>
              <w:rPr>
                <w:color w:val="000000"/>
              </w:rPr>
            </w:pPr>
            <w:r>
              <w:rPr>
                <w:color w:val="000000"/>
              </w:rPr>
              <w:t> ☐</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14d-1(d) (Cross-Border Third-Party Tender Offer)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3" w:name="ny20077391x2_sctota_100-sctota_pg2"/>
      <w:bookmarkEnd w:id="3"/>
      <w:r>
        <w:rPr>
          <w:rFonts w:ascii="Times New Roman;Times;serif" w:hAnsi="Times New Roman;Times;serif"/>
          <w:color w:val="000000"/>
          <w:sz w:val="20"/>
        </w:rPr>
        <w:t>This Amendment No. 2 (this “</w:t>
      </w:r>
      <w:r>
        <w:rPr>
          <w:rFonts w:ascii="Times New Roman;Times;serif" w:hAnsi="Times New Roman;Times;serif"/>
          <w:color w:val="000000"/>
          <w:sz w:val="20"/>
          <w:u w:val="single"/>
        </w:rPr>
        <w:t>Amendment</w:t>
      </w:r>
      <w:r>
        <w:rPr>
          <w:rFonts w:ascii="Times New Roman;Times;serif" w:hAnsi="Times New Roman;Times;serif"/>
          <w:color w:val="000000"/>
          <w:sz w:val="20"/>
        </w:rPr>
        <w:t>”) amends and supplements the Tender Offer Statement on Schedule TO filed with the Securities and Exchange Commission on June 10, 2026 (together with any subsequent amendments and supplements thereto, the “</w:t>
      </w:r>
      <w:r>
        <w:rPr>
          <w:rFonts w:ascii="Times New Roman;Times;serif" w:hAnsi="Times New Roman;Times;serif"/>
          <w:color w:val="000000"/>
          <w:sz w:val="20"/>
          <w:u w:val="single"/>
        </w:rPr>
        <w:t>Schedule TO</w:t>
      </w:r>
      <w:r>
        <w:rPr>
          <w:rFonts w:ascii="Times New Roman;Times;serif" w:hAnsi="Times New Roman;Times;serif"/>
          <w:color w:val="000000"/>
          <w:sz w:val="20"/>
        </w:rPr>
        <w:t>”), by Kuva Acquisition Corp., a Delaware corporation (“</w:t>
      </w:r>
      <w:r>
        <w:rPr>
          <w:rFonts w:ascii="Times New Roman;Times;serif" w:hAnsi="Times New Roman;Times;serif"/>
          <w:color w:val="000000"/>
          <w:sz w:val="20"/>
          <w:u w:val="single"/>
        </w:rPr>
        <w:t>Purchaser</w:t>
      </w:r>
      <w:r>
        <w:rPr>
          <w:rFonts w:ascii="Times New Roman;Times;serif" w:hAnsi="Times New Roman;Times;serif"/>
          <w:color w:val="000000"/>
          <w:sz w:val="20"/>
        </w:rPr>
        <w:t>”) and a direct wholly-owned subsidiary of Kuva Labs Inc.,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Parent. The Schedule TO relates to the offer by Purchaser to purchase all of the outstanding shares of common stock, par value $0.001 per share (the “</w:t>
      </w:r>
      <w:r>
        <w:rPr>
          <w:rFonts w:ascii="Times New Roman;Times;serif" w:hAnsi="Times New Roman;Times;serif"/>
          <w:color w:val="000000"/>
          <w:sz w:val="20"/>
          <w:u w:val="single"/>
        </w:rPr>
        <w:t>Common Shares</w:t>
      </w:r>
      <w:r>
        <w:rPr>
          <w:rFonts w:ascii="Times New Roman;Times;serif" w:hAnsi="Times New Roman;Times;serif"/>
          <w:color w:val="000000"/>
          <w:sz w:val="20"/>
        </w:rPr>
        <w:t>”), of Lisata Therapeutics,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at a purchase price of (i) $4.00 per Common Share, net to the seller in cash, without interest (the “</w:t>
      </w:r>
      <w:r>
        <w:rPr>
          <w:rFonts w:ascii="Times New Roman;Times;serif" w:hAnsi="Times New Roman;Times;serif"/>
          <w:color w:val="000000"/>
          <w:sz w:val="20"/>
          <w:u w:val="single"/>
        </w:rPr>
        <w:t>Closing Amount</w:t>
      </w:r>
      <w:r>
        <w:rPr>
          <w:rFonts w:ascii="Times New Roman;Times;serif" w:hAnsi="Times New Roman;Times;serif"/>
          <w:color w:val="000000"/>
          <w:sz w:val="20"/>
        </w:rPr>
        <w:t>”), plus (ii) one contingent value right (each, a “</w:t>
      </w:r>
      <w:r>
        <w:rPr>
          <w:rFonts w:ascii="Times New Roman;Times;serif" w:hAnsi="Times New Roman;Times;serif"/>
          <w:color w:val="000000"/>
          <w:sz w:val="20"/>
          <w:u w:val="single"/>
        </w:rPr>
        <w:t>CVR</w:t>
      </w:r>
      <w:r>
        <w:rPr>
          <w:rFonts w:ascii="Times New Roman;Times;serif" w:hAnsi="Times New Roman;Times;serif"/>
          <w:color w:val="000000"/>
          <w:sz w:val="20"/>
        </w:rPr>
        <w:t>”), which represents the contractual right to receive contingent cash payments of up to an aggregate of $3.00 per CVR subject to the achievement of the Milestones (as defined in the CVR Agreement), in accordance with the terms and subject to the conditions of a contingent value rights agreement (the “</w:t>
      </w:r>
      <w:r>
        <w:rPr>
          <w:rFonts w:ascii="Times New Roman;Times;serif" w:hAnsi="Times New Roman;Times;serif"/>
          <w:color w:val="000000"/>
          <w:sz w:val="20"/>
          <w:u w:val="single"/>
        </w:rPr>
        <w:t>CVR Agreement</w:t>
      </w:r>
      <w:r>
        <w:rPr>
          <w:rFonts w:ascii="Times New Roman;Times;serif" w:hAnsi="Times New Roman;Times;serif"/>
          <w:color w:val="000000"/>
          <w:sz w:val="20"/>
        </w:rPr>
        <w:t>”), net to the seller in cash, without interest (the Closing Amount plus one CVR, collectively, or any higher amount per Common Share paid pursuant to the Offer, the “</w:t>
      </w:r>
      <w:r>
        <w:rPr>
          <w:rFonts w:ascii="Times New Roman;Times;serif" w:hAnsi="Times New Roman;Times;serif"/>
          <w:color w:val="000000"/>
          <w:sz w:val="20"/>
          <w:u w:val="single"/>
        </w:rPr>
        <w:t>Offer Price</w:t>
      </w:r>
      <w:r>
        <w:rPr>
          <w:rFonts w:ascii="Times New Roman;Times;serif" w:hAnsi="Times New Roman;Times;serif"/>
          <w:color w:val="000000"/>
          <w:sz w:val="20"/>
        </w:rPr>
        <w:t>”) and less any applicable tax withholding, upon the terms and subject to the conditions set forth in the Offer to Purchase dated June 10, 2026 (together with any amendments or supplements thereto, the “</w:t>
      </w:r>
      <w:r>
        <w:rPr>
          <w:rFonts w:ascii="Times New Roman;Times;serif" w:hAnsi="Times New Roman;Times;serif"/>
          <w:color w:val="000000"/>
          <w:sz w:val="20"/>
          <w:u w:val="single"/>
        </w:rPr>
        <w:t>Offer to Purchase</w:t>
      </w:r>
      <w:r>
        <w:rPr>
          <w:rFonts w:ascii="Times New Roman;Times;serif" w:hAnsi="Times New Roman;Times;serif"/>
          <w:color w:val="000000"/>
          <w:sz w:val="20"/>
        </w:rPr>
        <w:t xml:space="preserve">”), and in the accompanying Letter of Transmittal, which are annexed to and filed with the Schedule TO as Exhibits (a)(1)(A) and (a)(1)(B),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is hereby expressly incorporated by reference herein in response to Items 1 through 9 and Item 11 of this Schedule TO and is supplemented by the information specifically provided in this Amendment, except as otherwise set forth below. Except as otherwise set forth in this Amendment, the information in the Schedule TO remains unchanged and is incorporated herein by reference to the extent relevant to the items in this Amendment. Capitalized terms used but not defined herein have the meanings ascribed to them in the Schedule TO.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Items 1 through 9 and Item 11.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Items 1 through 9 and Item 11 of the Schedule TO, to the extent such Items incorporate by reference the information contained in the Offer to Purchase, are hereby amended and supplemented as set forth below. Page references below are to the Offer to Purchase as originally filed.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10—“</w:t>
      </w:r>
      <w:r>
        <w:rPr>
          <w:rFonts w:ascii="Times New Roman;Times;serif" w:hAnsi="Times New Roman;Times;serif"/>
          <w:i/>
          <w:color w:val="000000"/>
          <w:sz w:val="20"/>
        </w:rPr>
        <w:t>Background of the Offer; Past Contacts or Negotiations with the Company</w:t>
      </w:r>
      <w:r>
        <w:rPr>
          <w:rFonts w:ascii="Times New Roman;Times;serif" w:hAnsi="Times New Roman;Times;serif"/>
          <w:color w:val="000000"/>
          <w:sz w:val="20"/>
        </w:rPr>
        <w:t>” of the Offer to Purchase is hereby amended and supplemented by adding the following paragraphs at the end thereof:</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On July 16, 2026, Purchaser, Parent, and the Company entered into an amendment to the Merger Agreement to extend the Outside Date from July 17, 2026 to July 21, 2026.”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Cover Page, the “Introduction” and Section 1 — “Terms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the related Letter of Transmittal are hereby amended and supplemented to reflect that the Expiration Time of the Offer has been extended, as follows:</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On July 16, 2026, Purchaser extended the Expiration Time until 11:59 p.m., New York City time, on July 20, 2026, unless the Offer is further extended or earlier terminated as permitted by the Merger Agreement. The Offer was previously scheduled to expire at 11:59 p.m., New York City time, on July 16, 2026.</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Equiniti Trust Company, LLC, the depositary for the Offer, has advised Purchaser that, as of 5:30 p.m., New York City time, on July 15, 2026, approximately 5,897,848 Common Shares have been validly tendered and not validly withdrawn pursuant to the Offer, representing approximately 64.67% of the 9,119,742 Common Shares outstanding as of July 15, 2026 (the most recent practicable date).</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Purchaser expect the Offer will be consummated promptly following the expiration of the Offer (as hereby extended), subject to the satisfaction of the remaining conditions to the consummation of the Offer set forth in the Merger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to the Offer to Purchase and Exhibits to the Schedule 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Accordingly, all references to “11:59 p.m., New York City time, on July 16, 2026” set forth in the Offer to Purchase (Exhibit (a)(1)(A)), the Letter of Transmittal (Exhibit (a)(1)(B)), the Letter to Brokers, Dealers, Commercial Banks, Trust Companies and Other Nominees (Exhibit (a)(1)(C)), the Letter to Clients for use by Brokers, Dealers, Commercial Banks, Trust Companies and Other Nominees (Exhibit (a)(1)(D)) and the Form of Notice of Guaranteed Delivery (Exhibit (a)(1)(E)) are hereby amended and replaced with “11:59 p.m., New York City time, on July 20, 2026.”</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4" w:name="ny20077391x2_sctota_100-sctota_pg3"/>
      <w:bookmarkEnd w:id="4"/>
      <w:r>
        <w:rPr>
          <w:rFonts w:ascii="Times New Roman;Times;serif" w:hAnsi="Times New Roman;Times;serif"/>
          <w:b/>
          <w:i/>
          <w:color w:val="000000"/>
          <w:sz w:val="20"/>
        </w:rPr>
        <w:t>Item 12. Exhibits</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12 of the Schedule TO is hereby amended and supplemented by adding the following exhibit:</w:t>
      </w:r>
    </w:p>
    <w:tbl>
      <w:tblPr>
        <w:tblW w:w="10205" w:type="dxa"/>
        <w:jc w:val="left"/>
        <w:tblInd w:w="0" w:type="dxa"/>
        <w:tblLayout w:type="fixed"/>
        <w:tblCellMar>
          <w:top w:w="0" w:type="dxa"/>
          <w:left w:w="0" w:type="dxa"/>
          <w:bottom w:w="0" w:type="dxa"/>
          <w:right w:w="0" w:type="dxa"/>
        </w:tblCellMar>
      </w:tblPr>
      <w:tblGrid>
        <w:gridCol w:w="840"/>
        <w:gridCol w:w="140"/>
        <w:gridCol w:w="140"/>
        <w:gridCol w:w="9085"/>
      </w:tblGrid>
      <w:tr>
        <w:trPr/>
        <w:tc>
          <w:tcPr>
            <w:tcW w:w="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5" w:type="dxa"/>
            <w:tcBorders/>
            <w:vAlign w:val="center"/>
          </w:tcPr>
          <w:p>
            <w:pPr>
              <w:pStyle w:val="TableContents"/>
              <w:bidi w:val="0"/>
              <w:spacing w:before="0" w:after="0"/>
              <w:jc w:val="left"/>
              <w:rPr/>
            </w:pPr>
            <w:r>
              <w:rPr/>
              <w:t> </w:t>
            </w:r>
          </w:p>
        </w:tc>
      </w:tr>
      <w:tr>
        <w:trPr/>
        <w:tc>
          <w:tcPr>
            <w:tcW w:w="8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840" w:type="dxa"/>
            <w:tcBorders/>
            <w:shd w:fill="CCEEFF" w:val="clear"/>
            <w:vAlign w:val="center"/>
          </w:tcPr>
          <w:p>
            <w:pPr>
              <w:pStyle w:val="TableContents"/>
              <w:bidi w:val="0"/>
              <w:spacing w:before="0" w:after="283"/>
              <w:ind w:left="0" w:right="0" w:hanging="0"/>
              <w:jc w:val="left"/>
              <w:rPr/>
            </w:pPr>
            <w:hyperlink w:anchor="ny20077391x2_exd13.htm">
              <w:r>
                <w:rPr>
                  <w:rStyle w:val="InternetLink"/>
                  <w:rFonts w:ascii="Times New Roman;Times;serif" w:hAnsi="Times New Roman;Times;serif"/>
                  <w:color w:val="000000"/>
                  <w:sz w:val="20"/>
                </w:rPr>
                <w:t>(d)(13)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Agreement and Plan of Merger, dated July 16, 2026, by and among Parent, Purchaser, and the Company</w:t>
            </w:r>
          </w:p>
        </w:tc>
      </w:tr>
      <w:tr>
        <w:trPr/>
        <w:tc>
          <w:tcPr>
            <w:tcW w:w="8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5" w:type="dxa"/>
            <w:tcBorders/>
            <w:shd w:fill="CCEEFF" w:val="clear"/>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5" w:name="ny20077391x2_sctota_100-sctota_pg4"/>
      <w:bookmarkEnd w:id="5"/>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July 16, 2026 </w:t>
      </w:r>
    </w:p>
    <w:tbl>
      <w:tblPr>
        <w:tblW w:w="381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ACQUISITION CORP.</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LABS INC.</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jc w:val="right"/>
        <w:rPr/>
      </w:pPr>
      <w:r>
        <w:rPr/>
      </w:r>
      <w:bookmarkStart w:id="6" w:name="ny20077391x2_exd13.htm"/>
      <w:bookmarkStart w:id="7" w:name="ksny20077391x2_exd13"/>
      <w:bookmarkStart w:id="8" w:name="ny20077391x2_exd13.htm"/>
      <w:bookmarkStart w:id="9" w:name="ksny20077391x2_exd13"/>
      <w:bookmarkEnd w:id="8"/>
      <w:bookmarkEnd w:id="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(d)(13)</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AMENDMENT TO AGREEMENT AND PLAN OF MERGER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AMENDMENT TO AGREEMENT AND PLAN OF MERGER (this “</w:t>
      </w:r>
      <w:r>
        <w:rPr>
          <w:rFonts w:ascii="Times New Roman;Times;serif" w:hAnsi="Times New Roman;Times;serif"/>
          <w:b/>
          <w:color w:val="000000"/>
          <w:sz w:val="20"/>
        </w:rPr>
        <w:t>Amendment</w:t>
      </w:r>
      <w:r>
        <w:rPr>
          <w:rFonts w:ascii="Times New Roman;Times;serif" w:hAnsi="Times New Roman;Times;serif"/>
          <w:color w:val="000000"/>
          <w:sz w:val="20"/>
        </w:rPr>
        <w:t>”), dated July 16, 2026, is made by and among, Kuva Labs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Kuva Acquisition Corp., a Delaware corporation and a wholly owned subsidiary of Parent (“</w:t>
      </w:r>
      <w:r>
        <w:rPr>
          <w:rFonts w:ascii="Times New Roman;Times;serif" w:hAnsi="Times New Roman;Times;serif"/>
          <w:b/>
          <w:color w:val="000000"/>
          <w:sz w:val="20"/>
        </w:rPr>
        <w:t>Purchaser</w:t>
      </w:r>
      <w:r>
        <w:rPr>
          <w:rFonts w:ascii="Times New Roman;Times;serif" w:hAnsi="Times New Roman;Times;serif"/>
          <w:color w:val="000000"/>
          <w:sz w:val="20"/>
        </w:rPr>
        <w:t>”), and Lisata Therapeutics,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amends certain provisions (as set forth herein) of that certain Agreement and Plan of Merger, dated March 6, 2026 (as the same may be amended, modified or restated in accordance with the terms thereof, the “</w:t>
      </w:r>
      <w:r>
        <w:rPr>
          <w:rFonts w:ascii="Times New Roman;Times;serif" w:hAnsi="Times New Roman;Times;serif"/>
          <w:b/>
          <w:color w:val="000000"/>
          <w:sz w:val="20"/>
        </w:rPr>
        <w:t>Merger Agreement</w:t>
      </w:r>
      <w:r>
        <w:rPr>
          <w:rFonts w:ascii="Times New Roman;Times;serif" w:hAnsi="Times New Roman;Times;serif"/>
          <w:color w:val="000000"/>
          <w:sz w:val="20"/>
        </w:rPr>
        <w:t>”), by and among Parent, Purchaser and the Company. Capitalized terms used herein but not otherwise defined shall have the meanings ascribed to them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WHEREAS, the Company has agreed to extend the Outside Date as set forth herein.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NOW, THEREFORE, the parties hereto agree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fb99991c80e4e25953ec88eb25b47f9"/>
      <w:bookmarkStart w:id="11" w:name="z0fb99991c80e4e25953ec88eb25b47f9"/>
      <w:bookmarkEnd w:id="11"/>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720" w:right="0" w:hanging="0"/>
              <w:jc w:val="left"/>
              <w:rPr/>
            </w:pPr>
            <w:r>
              <w:rPr/>
              <w:t>1.</w:t>
            </w:r>
          </w:p>
        </w:tc>
        <w:tc>
          <w:tcPr>
            <w:tcW w:w="10012" w:type="dxa"/>
            <w:tcBorders/>
            <w:vAlign w:val="center"/>
          </w:tcPr>
          <w:p>
            <w:pPr>
              <w:pStyle w:val="TableContents"/>
              <w:bidi w:val="0"/>
              <w:spacing w:before="0" w:after="0"/>
              <w:jc w:val="both"/>
              <w:rPr/>
            </w:pPr>
            <w:r>
              <w:rPr>
                <w:u w:val="single"/>
              </w:rPr>
              <w:t>Extension of Outside Date</w:t>
            </w:r>
            <w:r>
              <w:rPr/>
              <w:t>. Section 8.2(b) of the Merger Agreement is hereby amended to replace the words “July 17, 2026” with the words “July 21,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99916a5b574c4287baf4a56599685be3"/>
      <w:bookmarkStart w:id="13" w:name="z99916a5b574c4287baf4a56599685be3"/>
      <w:bookmarkEnd w:id="13"/>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720" w:right="0" w:hanging="0"/>
              <w:jc w:val="left"/>
              <w:rPr/>
            </w:pPr>
            <w:r>
              <w:rPr/>
              <w:t>2.</w:t>
            </w:r>
          </w:p>
        </w:tc>
        <w:tc>
          <w:tcPr>
            <w:tcW w:w="10040" w:type="dxa"/>
            <w:tcBorders/>
            <w:vAlign w:val="center"/>
          </w:tcPr>
          <w:p>
            <w:pPr>
              <w:pStyle w:val="TableContents"/>
              <w:bidi w:val="0"/>
              <w:spacing w:before="0" w:after="0"/>
              <w:jc w:val="both"/>
              <w:rPr/>
            </w:pPr>
            <w:r>
              <w:rPr>
                <w:u w:val="single"/>
              </w:rPr>
              <w:t>Counterparts; Effectiveness</w:t>
            </w:r>
            <w:r>
              <w:rPr/>
              <w:t>. Except as otherwise expressly provided herein, the terms, provisions and conditions of the Merger Agreement shall remain unchanged and the Merger Agreement shall be construed in a manner consistent with this Amendment. This Amendment may be executed in any number of counterparts and by different parties hereto in separate counterparts, each of which when so executed and delivered shall be deemed an original, but all such counterparts together shall constitute but one and the same instrument.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parties have caused this Amendment to be executed and delivered by their respective duly authorized officers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959705d98f1f4266a8406ddc19427bc6"/>
      <w:bookmarkStart w:id="15" w:name="z959705d98f1f4266a8406ddc19427bc6"/>
      <w:bookmarkEnd w:id="15"/>
    </w:p>
    <w:tbl>
      <w:tblPr>
        <w:tblW w:w="4390" w:type="dxa"/>
        <w:jc w:val="left"/>
        <w:tblInd w:w="0" w:type="dxa"/>
        <w:tblLayout w:type="fixed"/>
        <w:tblCellMar>
          <w:top w:w="0" w:type="dxa"/>
          <w:left w:w="0" w:type="dxa"/>
          <w:bottom w:w="0" w:type="dxa"/>
          <w:right w:w="0" w:type="dxa"/>
        </w:tblCellMar>
      </w:tblPr>
      <w:tblGrid>
        <w:gridCol w:w="60"/>
        <w:gridCol w:w="710"/>
        <w:gridCol w:w="3620"/>
      </w:tblGrid>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0"/>
              <w:jc w:val="both"/>
              <w:rPr>
                <w:b/>
              </w:rPr>
            </w:pPr>
            <w:r>
              <w:rPr>
                <w:b/>
              </w:rPr>
              <w:t>KUVA LABS INC.</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By:</w:t>
            </w:r>
          </w:p>
        </w:tc>
        <w:tc>
          <w:tcPr>
            <w:tcW w:w="3620" w:type="dxa"/>
            <w:tcBorders>
              <w:bottom w:val="single" w:sz="12" w:space="0" w:color="000000"/>
            </w:tcBorders>
            <w:tcMar>
              <w:bottom w:w="28" w:type="dxa"/>
            </w:tcMar>
            <w:vAlign w:val="center"/>
          </w:tcPr>
          <w:p>
            <w:pPr>
              <w:pStyle w:val="TableContents"/>
              <w:bidi w:val="0"/>
              <w:spacing w:before="0" w:after="0"/>
              <w:jc w:val="both"/>
              <w:rPr/>
            </w:pPr>
            <w:r>
              <w:rPr/>
              <w:t>/s/ Mark Land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Name:</w:t>
            </w:r>
          </w:p>
        </w:tc>
        <w:tc>
          <w:tcPr>
            <w:tcW w:w="3620" w:type="dxa"/>
            <w:tcBorders/>
            <w:vAlign w:val="center"/>
          </w:tcPr>
          <w:p>
            <w:pPr>
              <w:pStyle w:val="TableContents"/>
              <w:bidi w:val="0"/>
              <w:spacing w:before="0" w:after="0"/>
              <w:jc w:val="both"/>
              <w:rPr/>
            </w:pPr>
            <w:r>
              <w:rPr/>
              <w:t>Mark Land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Title:</w:t>
            </w:r>
          </w:p>
        </w:tc>
        <w:tc>
          <w:tcPr>
            <w:tcW w:w="3620" w:type="dxa"/>
            <w:tcBorders/>
            <w:vAlign w:val="center"/>
          </w:tcPr>
          <w:p>
            <w:pPr>
              <w:pStyle w:val="TableContents"/>
              <w:bidi w:val="0"/>
              <w:spacing w:before="0" w:after="0"/>
              <w:jc w:val="both"/>
              <w:rPr/>
            </w:pPr>
            <w:r>
              <w:rPr/>
              <w:t>Chief Executive Officer</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0"/>
              <w:jc w:val="both"/>
              <w:rPr>
                <w:b/>
              </w:rPr>
            </w:pPr>
            <w:r>
              <w:rPr>
                <w:b/>
              </w:rPr>
              <w:t>KUVA ACQUISITION CORP.</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Mark Land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 xml:space="preserve">Name: </w:t>
            </w:r>
          </w:p>
        </w:tc>
        <w:tc>
          <w:tcPr>
            <w:tcW w:w="3620" w:type="dxa"/>
            <w:tcBorders/>
            <w:vAlign w:val="center"/>
          </w:tcPr>
          <w:p>
            <w:pPr>
              <w:pStyle w:val="TableContents"/>
              <w:bidi w:val="0"/>
              <w:spacing w:before="0" w:after="283"/>
              <w:jc w:val="left"/>
              <w:rPr/>
            </w:pPr>
            <w:r>
              <w:rPr/>
              <w:t>Mark Land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Title:</w:t>
            </w:r>
          </w:p>
        </w:tc>
        <w:tc>
          <w:tcPr>
            <w:tcW w:w="3620" w:type="dxa"/>
            <w:tcBorders/>
            <w:vAlign w:val="center"/>
          </w:tcPr>
          <w:p>
            <w:pPr>
              <w:pStyle w:val="TableContents"/>
              <w:bidi w:val="0"/>
              <w:spacing w:before="0" w:after="283"/>
              <w:jc w:val="left"/>
              <w:rPr/>
            </w:pPr>
            <w:r>
              <w:rPr/>
              <w:t>Chief Executive Officer</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0"/>
              <w:jc w:val="both"/>
              <w:rPr>
                <w:b/>
              </w:rPr>
            </w:pPr>
            <w:r>
              <w:rPr>
                <w:b/>
              </w:rPr>
              <w:t>LISATA THERAPEUTICS, INC.</w:t>
            </w:r>
          </w:p>
        </w:tc>
      </w:tr>
      <w:tr>
        <w:trPr/>
        <w:tc>
          <w:tcPr>
            <w:tcW w:w="6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 xml:space="preserve">By: </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David J. Mazzo, Ph.D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 xml:space="preserve">Name: </w:t>
            </w:r>
          </w:p>
        </w:tc>
        <w:tc>
          <w:tcPr>
            <w:tcW w:w="3620" w:type="dxa"/>
            <w:tcBorders/>
            <w:vAlign w:val="center"/>
          </w:tcPr>
          <w:p>
            <w:pPr>
              <w:pStyle w:val="TableContents"/>
              <w:bidi w:val="0"/>
              <w:spacing w:before="0" w:after="283"/>
              <w:jc w:val="left"/>
              <w:rPr/>
            </w:pPr>
            <w:r>
              <w:rPr/>
              <w:t>David J. Mazzo, Ph.D.</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pPr>
            <w:r>
              <w:rPr/>
              <w:t xml:space="preserve">Title: </w:t>
            </w:r>
          </w:p>
        </w:tc>
        <w:tc>
          <w:tcPr>
            <w:tcW w:w="362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1533</Words>
  <Characters>8100</Characters>
  <CharactersWithSpaces>9698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