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Lehrer-Graiwer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LISATA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173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LIBERTY CORNER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LISATA THERAPEUTICS, INC.</w:t>
              </w:r>
            </w:hyperlink>
            <w:r>
              <w:rPr/>
              <w:t xml:space="preserve"> [ </w:t>
            </w:r>
            <w:r>
              <w:rPr>
                <w:rFonts w:ascii="Times;serif" w:hAnsi="Times;serif"/>
                <w:color w:val="0000FF"/>
                <w:sz w:val="24"/>
                <w:shd w:fill="FFFFFF" w:val="clear"/>
              </w:rPr>
              <w:t>LSTA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COO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21,548</w:t>
            </w:r>
            <w:r>
              <w:rPr>
                <w:rFonts w:ascii="Times;serif" w:hAnsi="Times;serif"/>
                <w:color w:val="008000"/>
                <w:position w:val="7"/>
                <w:sz w:val="16"/>
                <w:sz w:val="20"/>
                <w:shd w:fill="FFFFFF" w:val="clear"/>
              </w:rPr>
              <w:t>(1)(2)</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6,260</w:t>
            </w:r>
            <w:r>
              <w:rPr>
                <w:rFonts w:ascii="Times;serif" w:hAnsi="Times;serif"/>
                <w:color w:val="008000"/>
                <w:position w:val="7"/>
                <w:sz w:val="16"/>
                <w:sz w:val="20"/>
                <w:shd w:fill="FFFFFF" w:val="clear"/>
              </w:rPr>
              <w:t>(1)(2)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5000" w:type="pct"/>
        <w:jc w:val="left"/>
        <w:tblInd w:w="-7" w:type="dxa"/>
        <w:tblLayout w:type="fixed"/>
        <w:tblCellMar>
          <w:top w:w="60" w:type="dxa"/>
          <w:left w:w="60" w:type="dxa"/>
          <w:bottom w:w="60" w:type="dxa"/>
          <w:right w:w="60" w:type="dxa"/>
        </w:tblCellMar>
      </w:tblPr>
      <w:tblGrid>
        <w:gridCol w:w="1577"/>
        <w:gridCol w:w="1221"/>
        <w:gridCol w:w="1113"/>
        <w:gridCol w:w="1434"/>
        <w:gridCol w:w="1180"/>
        <w:gridCol w:w="1233"/>
        <w:gridCol w:w="1183"/>
        <w:gridCol w:w="126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61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1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43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8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C Non-Voting Convertible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2,540,002</w:t>
            </w:r>
            <w:r>
              <w:rPr>
                <w:rFonts w:ascii="Times;serif" w:hAnsi="Times;serif"/>
                <w:color w:val="008000"/>
                <w:position w:val="7"/>
                <w:sz w:val="16"/>
                <w:sz w:val="20"/>
                <w:shd w:fill="FFFFFF" w:val="clear"/>
              </w:rPr>
              <w:t>(1)(2)</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C Non-Voting Convertible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737,919</w:t>
            </w:r>
            <w:r>
              <w:rPr>
                <w:rFonts w:ascii="Times;serif" w:hAnsi="Times;serif"/>
                <w:color w:val="008000"/>
                <w:position w:val="7"/>
                <w:sz w:val="16"/>
                <w:sz w:val="20"/>
                <w:shd w:fill="FFFFFF" w:val="clear"/>
              </w:rPr>
              <w:t>(1)(2)</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15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10/28/2034</w:t>
            </w:r>
          </w:p>
        </w:tc>
        <w:tc>
          <w:tcPr>
            <w:tcW w:w="1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Series C Non-Voting Convertible Preferred Stock</w:t>
            </w:r>
            <w:r>
              <w:rPr>
                <w:rFonts w:ascii="Times;serif" w:hAnsi="Times;serif"/>
                <w:color w:val="008000"/>
                <w:position w:val="7"/>
                <w:sz w:val="16"/>
                <w:sz w:val="20"/>
                <w:shd w:fill="FFFFFF" w:val="clear"/>
              </w:rPr>
              <w:t>(4)</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2,464.319</w:t>
            </w:r>
            <w:r>
              <w:rPr>
                <w:rFonts w:ascii="Times;serif" w:hAnsi="Times;serif"/>
                <w:color w:val="008000"/>
                <w:position w:val="7"/>
                <w:sz w:val="16"/>
                <w:sz w:val="20"/>
                <w:shd w:fill="FFFFFF" w:val="clear"/>
              </w:rPr>
              <w:t>(5)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318.85</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10/28/2034</w:t>
            </w:r>
          </w:p>
        </w:tc>
        <w:tc>
          <w:tcPr>
            <w:tcW w:w="1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Series C Non-Voting Convertible Preferred Stock</w:t>
            </w:r>
            <w:r>
              <w:rPr>
                <w:rFonts w:ascii="Times;serif" w:hAnsi="Times;serif"/>
                <w:color w:val="008000"/>
                <w:position w:val="7"/>
                <w:sz w:val="16"/>
                <w:sz w:val="20"/>
                <w:shd w:fill="FFFFFF" w:val="clear"/>
              </w:rPr>
              <w:t>(4)</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2,930.344</w:t>
            </w:r>
            <w:r>
              <w:rPr>
                <w:rFonts w:ascii="Times;serif" w:hAnsi="Times;serif"/>
                <w:color w:val="008000"/>
                <w:position w:val="7"/>
                <w:sz w:val="16"/>
                <w:sz w:val="20"/>
                <w:shd w:fill="FFFFFF" w:val="clear"/>
              </w:rPr>
              <w:t>(5)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318.85</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(6)(7)</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1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Series C Non-Voting Convertible Preferred Stock</w:t>
            </w:r>
            <w:r>
              <w:rPr>
                <w:rFonts w:ascii="Times;serif" w:hAnsi="Times;serif"/>
                <w:color w:val="008000"/>
                <w:position w:val="7"/>
                <w:sz w:val="16"/>
                <w:sz w:val="20"/>
                <w:shd w:fill="FFFFFF" w:val="clear"/>
              </w:rPr>
              <w:t>(4)</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712.636</w:t>
            </w:r>
            <w:r>
              <w:rPr>
                <w:rFonts w:ascii="Times;serif" w:hAnsi="Times;serif"/>
                <w:color w:val="008000"/>
                <w:position w:val="7"/>
                <w:sz w:val="16"/>
                <w:sz w:val="20"/>
                <w:shd w:fill="FFFFFF" w:val="clear"/>
              </w:rPr>
              <w:t>(5)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709.69</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(8)(9)</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1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Series C Non-Voting Convertible Preferred Stock</w:t>
            </w:r>
            <w:r>
              <w:rPr>
                <w:rFonts w:ascii="Times;serif" w:hAnsi="Times;serif"/>
                <w:color w:val="008000"/>
                <w:position w:val="7"/>
                <w:sz w:val="16"/>
                <w:sz w:val="20"/>
                <w:shd w:fill="FFFFFF" w:val="clear"/>
              </w:rPr>
              <w:t>(4)</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762.01</w:t>
            </w:r>
            <w:r>
              <w:rPr>
                <w:rFonts w:ascii="Times;serif" w:hAnsi="Times;serif"/>
                <w:color w:val="008000"/>
                <w:position w:val="7"/>
                <w:sz w:val="16"/>
                <w:sz w:val="20"/>
                <w:shd w:fill="FFFFFF" w:val="clear"/>
              </w:rPr>
              <w:t>(5)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709.69</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(6)(7)</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1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Series C Non-Voting Convertible Preferred Stock</w:t>
            </w:r>
            <w:r>
              <w:rPr>
                <w:rFonts w:ascii="Times;serif" w:hAnsi="Times;serif"/>
                <w:color w:val="008000"/>
                <w:position w:val="7"/>
                <w:sz w:val="16"/>
                <w:sz w:val="20"/>
                <w:shd w:fill="FFFFFF" w:val="clear"/>
              </w:rPr>
              <w:t>(4)</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59.19</w:t>
            </w:r>
            <w:r>
              <w:rPr>
                <w:rFonts w:ascii="Times;serif" w:hAnsi="Times;serif"/>
                <w:color w:val="008000"/>
                <w:position w:val="7"/>
                <w:sz w:val="16"/>
                <w:sz w:val="20"/>
                <w:shd w:fill="FFFFFF" w:val="clear"/>
              </w:rPr>
              <w:t>(5)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545.13</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(8)(9)</w:t>
            </w:r>
          </w:p>
        </w:tc>
        <w:tc>
          <w:tcPr>
            <w:tcW w:w="11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1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Series C Non-Voting Convertible Preferred Stock</w:t>
            </w:r>
            <w:r>
              <w:rPr>
                <w:rFonts w:ascii="Times;serif" w:hAnsi="Times;serif"/>
                <w:color w:val="008000"/>
                <w:position w:val="7"/>
                <w:sz w:val="16"/>
                <w:sz w:val="20"/>
                <w:shd w:fill="FFFFFF" w:val="clear"/>
              </w:rPr>
              <w:t>(4)</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63.291</w:t>
            </w:r>
            <w:r>
              <w:rPr>
                <w:rFonts w:ascii="Times;serif" w:hAnsi="Times;serif"/>
                <w:color w:val="008000"/>
                <w:position w:val="7"/>
                <w:sz w:val="16"/>
                <w:sz w:val="20"/>
                <w:shd w:fill="FFFFFF" w:val="clear"/>
              </w:rPr>
              <w:t>(5)</w:t>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545.13</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of Common Stock and shares of Common Stock underlying shares of Series C Non-Voting Convertible Preferred Stock represent shares received in exchange for 3,400,043 shares of common stock of Marea Therapeutics, Inc. ("Marea") in connection with the Issuer's merger (the "Merger") with Marea pursuant to the Agreement and Plan of Merger (the "Merger Agreement"), dated September 17, 2026, by and among the Issuer, Marea, Mariner Merger Sub I, Inc. and Mariner Merger Sub II, LLC. Under the terms of the Merger Agreement, at the effective time of the Merger, each outstanding share of Marea's common stock was cancelled and converted into the right to receive 0.9723 shares of Common Stock or, in lieu thereof, 0.0009723 shares of Series C Non-Voting Convertible Preferred Stock (representing 0.9723 shares of Common Stock on an as-converted basis) (the "Preferred Share Exchange Ratio"). A portion of the reported shares of Common Stock and Series C Non-Voting Convertible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Preferred Stock are subject to an Issuer right of repurchase that lapses in accordance with time- or milestone-based vesting conditions set forth in the applicable stock purchase agreements.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Lehrer Family Irrevocable GST Exempt Trust U/A/D November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share of Series C Non-Voting Convertible Preferred Stock will automatically convert into 1,000 shares of Common Stock upon the approval of such conversion by the Issuer's stockholders in accordance with the rules of the Nasdaq Stock Market LLC, subject to a beneficial ownership limitation to be established by the holder of between 4.9% and 19.99% of the outstanding Common Stock. The Series C Non-Voting Convertible Preferred Stock does not have a conversion price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options to purchase shares of Marea common stock assumed by the Issuer at the effective time of the Merger. At the effective time of the Merger, each outstanding option to purchase Marea common stock was assumed by the Issuer and adjusted to reflect the right to purchase a number of shares of Series C Non-Voting Convertible Preferred Stock equal to the Preferred Share Exchange Ratio, with a corresponding adjustment to the applicable exercise price per share. See Footnotes 1, 2 and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vests as to 100% of the underlying shares upon a Valuation Determination Event in which the Valuation Per Share is greater than $5.01 (the "Target Price"), subject to the optionee remaining in a Service Relationship through such Valuation Determination Event (or, if earlier, termination of the optionee's Service Relationship without Cause within 60 days of the Valuation Determination Event). A "Valuation Determination Event" means the closing of a Sale Event, an initial public offering, a reverse merger or SPAC business combination, an exchange listing without an underwritten offering, or the first trading day on which the 40-trading-day trailing average closing price of the Company's common stock equals or exceeds the Target Price. "Valuation Per Share" means, as applicable, the Sale Price in a Sale Event, the IPO price, the implied per-share consideration in a reverse merger/business combination, the closing price on first listing, or the trailing average described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(continued from Footnote 6) The Target Price is subject to adjustment for stock splits, dividends, combinations or similar recapitalizations. Capitalized terms not otherwise defined have the meanings given in the Company's equity incentive plan and the applicable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option vests as to 100% of the underlying shares upon a Valuation Determination Event in which the Valuation Per Share is greater than $8.35 (the "Target Price"), subject to the optionee remaining in a Service Relationship through such Valuation Determination Event (or, if earlier, termination of the optionee's Service Relationship without Cause within 60 days of the Valuation Determination Event). A "Valuation Determination Event" means the closing of a Sale Event, an initial public offering, a reverse merger or SPAC business combination, an exchange listing without an underwritten offering, or the first trading day on which the 40-trading-day trailing average closing price of the Company's common stock equals or exceeds the Target Price. "Valuation Per Share" means, as applicable, the Sale Price in a Sale Event, the IPO price, the implied per-share consideration in a reverse merger/business combination, the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(continued from Footnote 8) closing price on first listing, or the trailing average described above. The Target Price is subject to adjustment for stock splits, dividends, combinations or similar recapitalizations. Capitalized terms not otherwise defined have the meanings given in the Company's equity incentive plan and the applicable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attached as Exhibit 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Nisco, Attorney-in-Fact for Joshua Lehrer-Graiwer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bidi w:val="0"/>
        <w:jc w:val="left"/>
        <w:rPr/>
      </w:pPr>
      <w:r>
        <w:rPr/>
      </w:r>
      <w:bookmarkStart w:id="2" w:name="ef20082889_ex24-1.htm"/>
      <w:bookmarkStart w:id="3" w:name="ksef20082889_ex241"/>
      <w:bookmarkStart w:id="4" w:name="ef20082889_ex24-1.htm"/>
      <w:bookmarkStart w:id="5" w:name="ksef20082889_ex241"/>
      <w:bookmarkEnd w:id="4"/>
      <w:bookmarkEnd w:id="5"/>
      <w:r>
        <w:br w:type="page"/>
      </w:r>
    </w:p>
    <w:p>
      <w:pPr>
        <w:pStyle w:val="TextBody"/>
        <w:bidi w:val="0"/>
        <w:spacing w:before="0" w:after="0"/>
        <w:jc w:val="right"/>
        <w:rPr/>
      </w:pPr>
      <w:r>
        <w:rPr>
          <w:b/>
        </w:rPr>
        <w:t>Exhibit 24.1</w:t>
      </w:r>
      <w:r>
        <w:rPr/>
        <w:t xml:space="preserve"> </w:t>
      </w:r>
    </w:p>
    <w:p>
      <w:pPr>
        <w:pStyle w:val="TextBody"/>
        <w:bidi w:val="0"/>
        <w:spacing w:before="0" w:after="0"/>
        <w:jc w:val="center"/>
        <w:rPr/>
      </w:pPr>
      <w:r>
        <w:rPr/>
        <w:t xml:space="preserve">  </w:t>
      </w:r>
    </w:p>
    <w:p>
      <w:pPr>
        <w:pStyle w:val="TextBody"/>
        <w:bidi w:val="0"/>
        <w:spacing w:before="0" w:after="0"/>
        <w:jc w:val="center"/>
        <w:rPr/>
      </w:pPr>
      <w:r>
        <w:rPr>
          <w:b/>
        </w:rPr>
        <w:t>POWER OF ATTORNEY</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Know all by these present, that the undersigned hereby constitutes and appoints each of David J. Mazzo, Tariq Imam and James Nisco of Lisata Therapeutics, Inc. (the “Company”), and Jeffrey P. Schultz of Mintz, Levin, Cohn, Ferris, Glovsky and Popeo, P.C., signing singly, with full power of substitution, the undersigned’s true and lawful attorney-in-fact to: </w:t>
      </w:r>
    </w:p>
    <w:p>
      <w:pPr>
        <w:pStyle w:val="TextBody"/>
        <w:bidi w:val="0"/>
        <w:spacing w:before="0" w:after="0"/>
        <w:jc w:val="left"/>
        <w:rPr/>
      </w:pPr>
      <w:r>
        <w:rPr/>
        <w:t xml:space="preserve">  </w:t>
      </w:r>
    </w:p>
    <w:p>
      <w:pPr>
        <w:pStyle w:val="TextBody"/>
        <w:bidi w:val="0"/>
        <w:spacing w:before="0" w:after="0"/>
        <w:jc w:val="both"/>
        <w:rPr/>
      </w:pPr>
      <w:r>
        <w:rPr/>
        <w:t xml:space="preserve">1)  execute and deliver for and on behalf of the undersigned, forms and authentication documents for EDGAR Filing Access; </w:t>
      </w:r>
    </w:p>
    <w:p>
      <w:pPr>
        <w:pStyle w:val="TextBody"/>
        <w:bidi w:val="0"/>
        <w:spacing w:before="0" w:after="0"/>
        <w:jc w:val="left"/>
        <w:rPr/>
      </w:pPr>
      <w:r>
        <w:rPr/>
        <w:t xml:space="preserve">  </w:t>
      </w:r>
    </w:p>
    <w:p>
      <w:pPr>
        <w:pStyle w:val="TextBody"/>
        <w:bidi w:val="0"/>
        <w:spacing w:before="0" w:after="0"/>
        <w:jc w:val="both"/>
        <w:rPr/>
      </w:pPr>
      <w:r>
        <w:rPr/>
        <w:t xml:space="preserve">2)  do and perform any and all acts for and on behalf of the undersigned which may be necessary or desirable to complete and execute any such forms and authentication documents; </w:t>
      </w:r>
    </w:p>
    <w:p>
      <w:pPr>
        <w:pStyle w:val="TextBody"/>
        <w:bidi w:val="0"/>
        <w:spacing w:before="0" w:after="0"/>
        <w:jc w:val="left"/>
        <w:rPr/>
      </w:pPr>
      <w:r>
        <w:rPr/>
        <w:t xml:space="preserve">  </w:t>
      </w:r>
    </w:p>
    <w:p>
      <w:pPr>
        <w:pStyle w:val="TextBody"/>
        <w:bidi w:val="0"/>
        <w:spacing w:before="0" w:after="0"/>
        <w:jc w:val="both"/>
        <w:rPr/>
      </w:pPr>
      <w:r>
        <w:rPr/>
        <w:t xml:space="preserve">3)  execute and deliver for and on behalf of the undersigned, in the undersigned’s capacity as an officer, director and/or 10% shareholder of the Company, Forms 3, 4 and 5 in accordance with Section 16(a) of the Securities Exchange Act of 1934 and the rules thereunder; </w:t>
      </w:r>
    </w:p>
    <w:p>
      <w:pPr>
        <w:pStyle w:val="TextBody"/>
        <w:bidi w:val="0"/>
        <w:spacing w:before="0" w:after="0"/>
        <w:jc w:val="left"/>
        <w:rPr/>
      </w:pPr>
      <w:r>
        <w:rPr/>
        <w:t xml:space="preserve">  </w:t>
      </w:r>
    </w:p>
    <w:p>
      <w:pPr>
        <w:pStyle w:val="TextBody"/>
        <w:bidi w:val="0"/>
        <w:spacing w:before="0" w:after="0"/>
        <w:jc w:val="both"/>
        <w:rPr/>
      </w:pPr>
      <w:r>
        <w:rPr/>
        <w:t xml:space="preserve">4)  do and perform any and all acts for and on behalf of the undersigned which may be necessary or desirable to complete and execute any such Form 3, 4 or 5 and timely file such form with the United States Securities and Exchange Commission and any stock exchange, self-regulatory or similar authority; and </w:t>
      </w:r>
    </w:p>
    <w:p>
      <w:pPr>
        <w:pStyle w:val="TextBody"/>
        <w:bidi w:val="0"/>
        <w:spacing w:before="0" w:after="0"/>
        <w:jc w:val="left"/>
        <w:rPr/>
      </w:pPr>
      <w:r>
        <w:rPr/>
        <w:t xml:space="preserve">  </w:t>
      </w:r>
    </w:p>
    <w:p>
      <w:pPr>
        <w:pStyle w:val="TextBody"/>
        <w:bidi w:val="0"/>
        <w:spacing w:before="0" w:after="0"/>
        <w:jc w:val="both"/>
        <w:rPr/>
      </w:pPr>
      <w:r>
        <w:rPr/>
        <w:t xml:space="preserve">5)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0"/>
        <w:jc w:val="left"/>
        <w:rPr/>
      </w:pPr>
      <w:r>
        <w:rPr/>
        <w:t xml:space="preserve">  </w:t>
      </w:r>
    </w:p>
    <w:p>
      <w:pPr>
        <w:pStyle w:val="TextBody"/>
        <w:bidi w:val="0"/>
        <w:spacing w:before="0" w:after="0"/>
        <w:jc w:val="both"/>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(i) any of the undersigned's responsibilities to comply with the requirements of the Exchange Act or any liability for the undersigned’s failure to comply with such requirements or (ii) any obligation or liability that the undersigned incurs for profit disgorgement under Section 16(b) of the Securities Exchange Act of 1934, as amended. </w:t>
      </w:r>
    </w:p>
    <w:p>
      <w:pPr>
        <w:pStyle w:val="TextBody"/>
        <w:bidi w:val="0"/>
        <w:spacing w:before="0" w:after="0"/>
        <w:jc w:val="left"/>
        <w:rPr/>
      </w:pPr>
      <w:r>
        <w:rPr/>
        <w:t xml:space="preserve">  </w:t>
      </w:r>
    </w:p>
    <w:p>
      <w:pPr>
        <w:pStyle w:val="TextBody"/>
        <w:bidi w:val="0"/>
        <w:spacing w:before="0" w:after="0"/>
        <w:jc w:val="both"/>
        <w:rPr/>
      </w:pPr>
      <w:r>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jc w:val="left"/>
        <w:rPr/>
      </w:pPr>
      <w:r>
        <w:rPr/>
        <w:t xml:space="preserve">  </w:t>
      </w:r>
    </w:p>
    <w:p>
      <w:pPr>
        <w:pStyle w:val="TextBody"/>
        <w:bidi w:val="0"/>
        <w:spacing w:before="0" w:after="0"/>
        <w:jc w:val="left"/>
        <w:rPr/>
      </w:pPr>
      <w:r>
        <w:rPr/>
        <w:t xml:space="preserve">This Power of Attorney does not revoke any other power of attorney that the undersigned has previously granted. </w:t>
      </w:r>
    </w:p>
    <w:p>
      <w:pPr>
        <w:pStyle w:val="TextBody"/>
        <w:bidi w:val="0"/>
        <w:spacing w:before="0" w:after="0"/>
        <w:jc w:val="left"/>
        <w:rPr/>
      </w:pPr>
      <w:r>
        <w:rPr/>
        <w:t xml:space="preserve">  </w:t>
      </w:r>
    </w:p>
    <w:p>
      <w:pPr>
        <w:pStyle w:val="TextBody"/>
        <w:bidi w:val="0"/>
        <w:spacing w:before="0" w:after="0"/>
        <w:jc w:val="both"/>
        <w:rPr/>
      </w:pPr>
      <w:r>
        <w:rPr/>
        <w:t xml:space="preserve">IN WITNESS WHEREOF, the undersigned has caused this Power of Attorney to be executed this 10th day of September 2026. </w:t>
      </w:r>
    </w:p>
    <w:p>
      <w:pPr>
        <w:pStyle w:val="TextBody"/>
        <w:bidi w:val="0"/>
        <w:spacing w:before="0" w:after="0"/>
        <w:jc w:val="left"/>
        <w:rPr/>
      </w:pPr>
      <w:r>
        <w:rPr/>
        <w:t xml:space="preserve">  </w:t>
      </w:r>
    </w:p>
    <w:tbl>
      <w:tblPr>
        <w:tblW w:w="2037" w:type="dxa"/>
        <w:jc w:val="left"/>
        <w:tblInd w:w="0" w:type="dxa"/>
        <w:tblLayout w:type="fixed"/>
        <w:tblCellMar>
          <w:top w:w="28" w:type="dxa"/>
          <w:left w:w="28" w:type="dxa"/>
          <w:bottom w:w="28" w:type="dxa"/>
          <w:right w:w="28" w:type="dxa"/>
        </w:tblCellMar>
      </w:tblPr>
      <w:tblGrid>
        <w:gridCol w:w="221"/>
        <w:gridCol w:w="1816"/>
      </w:tblGrid>
      <w:tr>
        <w:trPr/>
        <w:tc>
          <w:tcPr>
            <w:tcW w:w="221"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1816"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000000"/>
              </w:rPr>
              <w:t>/s/ Joshua Lehrer</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1816" w:type="dxa"/>
            <w:tcBorders/>
            <w:vAlign w:val="center"/>
          </w:tcPr>
          <w:p>
            <w:pPr>
              <w:pStyle w:val="TableContents"/>
              <w:bidi w:val="0"/>
              <w:spacing w:before="0" w:after="0"/>
              <w:jc w:val="left"/>
              <w:rPr/>
            </w:pPr>
            <w:r>
              <w:rPr>
                <w:color w:val="000000"/>
              </w:rPr>
              <w:t>Signature</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1816"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1816"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000000"/>
              </w:rPr>
              <w:t>Joshua Lehrer</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1816" w:type="dxa"/>
            <w:tcBorders/>
            <w:vAlign w:val="center"/>
          </w:tcPr>
          <w:p>
            <w:pPr>
              <w:pStyle w:val="TableContents"/>
              <w:bidi w:val="0"/>
              <w:spacing w:before="0" w:after="0"/>
              <w:jc w:val="left"/>
              <w:rPr/>
            </w:pPr>
            <w:r>
              <w:rPr>
                <w:color w:val="000000"/>
              </w:rPr>
              <w:t>Print Name</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89673" TargetMode="External"/><Relationship Id="rId3" Type="http://schemas.openxmlformats.org/officeDocument/2006/relationships/hyperlink" Target="http://www.sec.gov/cgi-bin/browse-edgar?action=getcompany&amp;CIK=000032001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1857</Words>
  <Characters>10175</Characters>
  <CharactersWithSpaces>11960</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