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9"/>
          <w:szCs w:val="29"/>
          <w:b w:val="1"/>
          <w:bCs w:val="1"/>
          <w:color w:val="auto"/>
        </w:rPr>
        <w:t>SCHEDULE 14D-9</w:t>
      </w:r>
    </w:p>
    <w:p>
      <w:pPr>
        <w:spacing w:after="0" w:line="3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(Rule 14d-101)</w:t>
      </w:r>
    </w:p>
    <w:p>
      <w:pPr>
        <w:spacing w:after="0" w:line="30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Solicitation/Recommendation Statement</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Under Section 14(d)(4) of the Securities Exchange Act of 1934</w:t>
      </w:r>
    </w:p>
    <w:p>
      <w:pPr>
        <w:spacing w:after="0" w:line="31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36"/>
          <w:szCs w:val="36"/>
          <w:b w:val="1"/>
          <w:bCs w:val="1"/>
          <w:color w:val="auto"/>
        </w:rPr>
        <w:t>Lisata Therapeutics, Inc.</w:t>
      </w:r>
    </w:p>
    <w:p>
      <w:pPr>
        <w:spacing w:after="0" w:line="5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300"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36"/>
          <w:szCs w:val="36"/>
          <w:b w:val="1"/>
          <w:bCs w:val="1"/>
          <w:color w:val="auto"/>
        </w:rPr>
        <w:t>Lisata Therapeutics, Inc.</w:t>
      </w:r>
    </w:p>
    <w:p>
      <w:pPr>
        <w:spacing w:after="0" w:line="5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(Name of Person Filing Statement)</w:t>
      </w:r>
    </w:p>
    <w:p>
      <w:pPr>
        <w:spacing w:after="0" w:line="30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33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128058302</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33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David J. Mazzo, Ph.D.</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P.O. Box 173, Liberty Corner,</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New Jersey 07938</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(908) 841-0100</w:t>
      </w:r>
    </w:p>
    <w:p>
      <w:pPr>
        <w:spacing w:after="0" w:line="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on Behalf of the Person Filing Statement)</w:t>
      </w:r>
    </w:p>
    <w:p>
      <w:pPr>
        <w:spacing w:after="0" w:line="338"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Jeffrey P. Schultz, Esq.</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Mintz Levin Cohn Ferris Glovsky &amp; Popeo, P.C.</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919 Third Avenue</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ind w:left="4740" w:hanging="438"/>
        <w:spacing w:after="0"/>
        <w:tabs>
          <w:tab w:leader="none" w:pos="4740"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935-3000</w:t>
      </w:r>
    </w:p>
    <w:p>
      <w:pPr>
        <w:spacing w:after="0" w:line="98"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170180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230505</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w:t>
            </w:r>
          </w:p>
        </w:tc>
        <w:tc>
          <w:tcPr>
            <w:tcW w:w="42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Subject Company Information.</w:t>
            </w:r>
          </w:p>
        </w:tc>
        <w:tc>
          <w:tcPr>
            <w:tcW w:w="4400" w:type="dxa"/>
            <w:vAlign w:val="bottom"/>
            <w:tcBorders>
              <w:bottom w:val="single" w:sz="8" w:color="CCEEFF"/>
            </w:tcBorders>
            <w:gridSpan w:val="9"/>
            <w:shd w:val="clear" w:color="auto" w:fill="CCEEFF"/>
          </w:tcPr>
          <w:p>
            <w:pPr>
              <w:spacing w:after="0"/>
              <w:rPr>
                <w:sz w:val="20"/>
                <w:szCs w:val="20"/>
                <w:color w:val="auto"/>
              </w:rPr>
            </w:pPr>
          </w:p>
        </w:tc>
        <w:tc>
          <w:tcPr>
            <w:tcW w:w="760" w:type="dxa"/>
            <w:vAlign w:val="bottom"/>
            <w:tcBorders>
              <w:bottom w:val="single" w:sz="8" w:color="CCEEFF"/>
            </w:tcBorders>
            <w:gridSpan w:val="5"/>
            <w:shd w:val="clear" w:color="auto" w:fill="CCEEFF"/>
          </w:tcPr>
          <w:p>
            <w:pPr>
              <w:spacing w:after="0"/>
              <w:rPr>
                <w:sz w:val="20"/>
                <w:szCs w:val="20"/>
                <w:color w:val="auto"/>
              </w:rPr>
            </w:pPr>
          </w:p>
        </w:tc>
        <w:tc>
          <w:tcPr>
            <w:tcW w:w="100" w:type="dxa"/>
            <w:vAlign w:val="bottom"/>
            <w:tcBorders>
              <w:bottom w:val="single" w:sz="8" w:color="0000EE"/>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94"/>
              </w:rPr>
              <w:t>Item 2.</w:t>
            </w:r>
          </w:p>
        </w:tc>
        <w:tc>
          <w:tcPr>
            <w:tcW w:w="7060" w:type="dxa"/>
            <w:vAlign w:val="bottom"/>
            <w:gridSpan w:val="13"/>
          </w:tcPr>
          <w:p>
            <w:pPr>
              <w:ind w:left="420"/>
              <w:spacing w:after="0" w:line="189" w:lineRule="exact"/>
              <w:rPr>
                <w:sz w:val="20"/>
                <w:szCs w:val="20"/>
                <w:color w:val="auto"/>
              </w:rPr>
            </w:pPr>
            <w:r>
              <w:rPr>
                <w:rFonts w:ascii="Times New Roman" w:cs="Times New Roman" w:eastAsia="Times New Roman" w:hAnsi="Times New Roman"/>
                <w:sz w:val="18"/>
                <w:szCs w:val="18"/>
                <w:color w:val="0000EE"/>
              </w:rPr>
              <w:t>Identity and Background of Filing Person.</w:t>
            </w:r>
          </w:p>
        </w:tc>
        <w:tc>
          <w:tcPr>
            <w:tcW w:w="86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0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Borders>
              <w:bottom w:val="single" w:sz="8" w:color="0000EE"/>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Item 3.</w:t>
            </w:r>
          </w:p>
        </w:tc>
        <w:tc>
          <w:tcPr>
            <w:tcW w:w="420" w:type="dxa"/>
            <w:vAlign w:val="bottom"/>
            <w:tcBorders>
              <w:bottom w:val="single" w:sz="8" w:color="CCEEFF"/>
            </w:tcBorders>
            <w:shd w:val="clear" w:color="auto" w:fill="CCEEFF"/>
          </w:tcPr>
          <w:p>
            <w:pPr>
              <w:spacing w:after="0"/>
              <w:rPr>
                <w:sz w:val="19"/>
                <w:szCs w:val="19"/>
                <w:color w:val="auto"/>
              </w:rPr>
            </w:pPr>
          </w:p>
        </w:tc>
        <w:tc>
          <w:tcPr>
            <w:tcW w:w="4260" w:type="dxa"/>
            <w:vAlign w:val="bottom"/>
            <w:tcBorders>
              <w:bottom w:val="single" w:sz="8" w:color="0000EE"/>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Past Contacts, Transactions, Negotiations and Agreements.</w:t>
            </w:r>
          </w:p>
        </w:tc>
        <w:tc>
          <w:tcPr>
            <w:tcW w:w="2380" w:type="dxa"/>
            <w:vAlign w:val="bottom"/>
            <w:tcBorders>
              <w:bottom w:val="single" w:sz="8" w:color="CCEEFF"/>
            </w:tcBorders>
            <w:gridSpan w:val="3"/>
            <w:shd w:val="clear" w:color="auto" w:fill="CCEEFF"/>
          </w:tcPr>
          <w:p>
            <w:pPr>
              <w:spacing w:after="0"/>
              <w:rPr>
                <w:sz w:val="19"/>
                <w:szCs w:val="19"/>
                <w:color w:val="auto"/>
              </w:rPr>
            </w:pPr>
          </w:p>
        </w:tc>
        <w:tc>
          <w:tcPr>
            <w:tcW w:w="760" w:type="dxa"/>
            <w:vAlign w:val="bottom"/>
            <w:tcBorders>
              <w:bottom w:val="single" w:sz="8" w:color="CCEEFF"/>
            </w:tcBorders>
            <w:gridSpan w:val="5"/>
            <w:shd w:val="clear" w:color="auto" w:fill="CCEEFF"/>
          </w:tcPr>
          <w:p>
            <w:pPr>
              <w:spacing w:after="0"/>
              <w:rPr>
                <w:sz w:val="19"/>
                <w:szCs w:val="19"/>
                <w:color w:val="auto"/>
              </w:rPr>
            </w:pPr>
          </w:p>
        </w:tc>
        <w:tc>
          <w:tcPr>
            <w:tcW w:w="100" w:type="dxa"/>
            <w:vAlign w:val="bottom"/>
            <w:tcBorders>
              <w:bottom w:val="single" w:sz="8" w:color="0000EE"/>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94"/>
              </w:rPr>
              <w:t>Item 4.</w:t>
            </w:r>
          </w:p>
        </w:tc>
        <w:tc>
          <w:tcPr>
            <w:tcW w:w="7060" w:type="dxa"/>
            <w:vAlign w:val="bottom"/>
            <w:gridSpan w:val="13"/>
          </w:tcPr>
          <w:p>
            <w:pPr>
              <w:ind w:left="420"/>
              <w:spacing w:after="0" w:line="189" w:lineRule="exact"/>
              <w:rPr>
                <w:sz w:val="20"/>
                <w:szCs w:val="20"/>
                <w:color w:val="auto"/>
              </w:rPr>
            </w:pPr>
            <w:r>
              <w:rPr>
                <w:rFonts w:ascii="Times New Roman" w:cs="Times New Roman" w:eastAsia="Times New Roman" w:hAnsi="Times New Roman"/>
                <w:sz w:val="18"/>
                <w:szCs w:val="18"/>
                <w:color w:val="0000EE"/>
              </w:rPr>
              <w:t>The Solicitation or Recommendation.</w:t>
            </w:r>
          </w:p>
        </w:tc>
        <w:tc>
          <w:tcPr>
            <w:tcW w:w="86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0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Item 5.</w:t>
            </w:r>
          </w:p>
        </w:tc>
        <w:tc>
          <w:tcPr>
            <w:tcW w:w="420" w:type="dxa"/>
            <w:vAlign w:val="bottom"/>
            <w:shd w:val="clear" w:color="auto" w:fill="CCEEFF"/>
          </w:tcPr>
          <w:p>
            <w:pPr>
              <w:spacing w:after="0"/>
              <w:rPr>
                <w:sz w:val="19"/>
                <w:szCs w:val="19"/>
                <w:color w:val="auto"/>
              </w:rPr>
            </w:pPr>
          </w:p>
        </w:tc>
        <w:tc>
          <w:tcPr>
            <w:tcW w:w="664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Persons/Assets Retained, Employed, Compensated or Used.</w:t>
            </w:r>
          </w:p>
        </w:tc>
        <w:tc>
          <w:tcPr>
            <w:tcW w:w="860" w:type="dxa"/>
            <w:vAlign w:val="bottom"/>
            <w:tcBorders>
              <w:right w:val="single" w:sz="8" w:color="CCEEFF"/>
            </w:tcBorders>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00" w:type="dxa"/>
            <w:vAlign w:val="bottom"/>
            <w:tcBorders>
              <w:top w:val="single" w:sz="8" w:color="0000EE"/>
            </w:tcBorders>
          </w:tcPr>
          <w:p>
            <w:pPr>
              <w:spacing w:after="0" w:line="189" w:lineRule="exact"/>
              <w:rPr>
                <w:sz w:val="20"/>
                <w:szCs w:val="20"/>
                <w:color w:val="auto"/>
              </w:rPr>
            </w:pPr>
            <w:r>
              <w:rPr>
                <w:rFonts w:ascii="Times New Roman" w:cs="Times New Roman" w:eastAsia="Times New Roman" w:hAnsi="Times New Roman"/>
                <w:sz w:val="18"/>
                <w:szCs w:val="18"/>
                <w:color w:val="0000EE"/>
                <w:w w:val="94"/>
              </w:rPr>
              <w:t>Item 6.</w:t>
            </w:r>
          </w:p>
        </w:tc>
        <w:tc>
          <w:tcPr>
            <w:tcW w:w="420" w:type="dxa"/>
            <w:vAlign w:val="bottom"/>
            <w:tcBorders>
              <w:top w:val="single" w:sz="8" w:color="CCEEFF"/>
            </w:tcBorders>
          </w:tcPr>
          <w:p>
            <w:pPr>
              <w:spacing w:after="0"/>
              <w:rPr>
                <w:sz w:val="16"/>
                <w:szCs w:val="16"/>
                <w:color w:val="auto"/>
              </w:rPr>
            </w:pPr>
          </w:p>
        </w:tc>
        <w:tc>
          <w:tcPr>
            <w:tcW w:w="4320" w:type="dxa"/>
            <w:vAlign w:val="bottom"/>
            <w:tcBorders>
              <w:top w:val="single" w:sz="8" w:color="0000EE"/>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Interest in Securities of the Subject Company.</w:t>
            </w:r>
          </w:p>
        </w:tc>
        <w:tc>
          <w:tcPr>
            <w:tcW w:w="2320" w:type="dxa"/>
            <w:vAlign w:val="bottom"/>
            <w:tcBorders>
              <w:top w:val="single" w:sz="8" w:color="CCEEFF"/>
            </w:tcBorders>
            <w:gridSpan w:val="2"/>
          </w:tcPr>
          <w:p>
            <w:pPr>
              <w:spacing w:after="0"/>
              <w:rPr>
                <w:sz w:val="16"/>
                <w:szCs w:val="16"/>
                <w:color w:val="auto"/>
              </w:rPr>
            </w:pPr>
          </w:p>
        </w:tc>
        <w:tc>
          <w:tcPr>
            <w:tcW w:w="660" w:type="dxa"/>
            <w:vAlign w:val="bottom"/>
            <w:tcBorders>
              <w:top w:val="single" w:sz="8" w:color="CCEEFF"/>
            </w:tcBorders>
            <w:gridSpan w:val="4"/>
          </w:tcPr>
          <w:p>
            <w:pPr>
              <w:spacing w:after="0"/>
              <w:rPr>
                <w:sz w:val="16"/>
                <w:szCs w:val="16"/>
                <w:color w:val="auto"/>
              </w:rPr>
            </w:pPr>
          </w:p>
        </w:tc>
        <w:tc>
          <w:tcPr>
            <w:tcW w:w="200" w:type="dxa"/>
            <w:vAlign w:val="bottom"/>
            <w:tcBorders>
              <w:top w:val="single" w:sz="8" w:color="0000EE"/>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0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Item 7.</w:t>
            </w:r>
          </w:p>
        </w:tc>
        <w:tc>
          <w:tcPr>
            <w:tcW w:w="420" w:type="dxa"/>
            <w:vAlign w:val="bottom"/>
            <w:shd w:val="clear" w:color="auto" w:fill="CCEEFF"/>
          </w:tcPr>
          <w:p>
            <w:pPr>
              <w:spacing w:after="0"/>
              <w:rPr>
                <w:sz w:val="19"/>
                <w:szCs w:val="19"/>
                <w:color w:val="auto"/>
              </w:rPr>
            </w:pPr>
          </w:p>
        </w:tc>
        <w:tc>
          <w:tcPr>
            <w:tcW w:w="664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Purposes of the Transaction and Plans or Proposals.</w:t>
            </w:r>
          </w:p>
        </w:tc>
        <w:tc>
          <w:tcPr>
            <w:tcW w:w="860" w:type="dxa"/>
            <w:vAlign w:val="bottom"/>
            <w:tcBorders>
              <w:right w:val="single" w:sz="8" w:color="CCEEFF"/>
            </w:tcBorders>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00" w:type="dxa"/>
            <w:vAlign w:val="bottom"/>
            <w:tcBorders>
              <w:top w:val="single" w:sz="8" w:color="0000EE"/>
            </w:tcBorders>
          </w:tcPr>
          <w:p>
            <w:pPr>
              <w:spacing w:after="0" w:line="189" w:lineRule="exact"/>
              <w:rPr>
                <w:sz w:val="20"/>
                <w:szCs w:val="20"/>
                <w:color w:val="auto"/>
              </w:rPr>
            </w:pPr>
            <w:r>
              <w:rPr>
                <w:rFonts w:ascii="Times New Roman" w:cs="Times New Roman" w:eastAsia="Times New Roman" w:hAnsi="Times New Roman"/>
                <w:sz w:val="18"/>
                <w:szCs w:val="18"/>
                <w:color w:val="0000EE"/>
                <w:w w:val="94"/>
              </w:rPr>
              <w:t>Item 8.</w:t>
            </w:r>
          </w:p>
        </w:tc>
        <w:tc>
          <w:tcPr>
            <w:tcW w:w="420" w:type="dxa"/>
            <w:vAlign w:val="bottom"/>
            <w:tcBorders>
              <w:top w:val="single" w:sz="8" w:color="CCEEFF"/>
            </w:tcBorders>
          </w:tcPr>
          <w:p>
            <w:pPr>
              <w:spacing w:after="0"/>
              <w:rPr>
                <w:sz w:val="16"/>
                <w:szCs w:val="16"/>
                <w:color w:val="auto"/>
              </w:rPr>
            </w:pPr>
          </w:p>
        </w:tc>
        <w:tc>
          <w:tcPr>
            <w:tcW w:w="3720" w:type="dxa"/>
            <w:vAlign w:val="bottom"/>
            <w:tcBorders>
              <w:top w:val="single" w:sz="8" w:color="0000EE"/>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Additional Information.</w:t>
            </w:r>
          </w:p>
        </w:tc>
        <w:tc>
          <w:tcPr>
            <w:tcW w:w="2920" w:type="dxa"/>
            <w:vAlign w:val="bottom"/>
            <w:tcBorders>
              <w:top w:val="single" w:sz="8" w:color="CCEEFF"/>
            </w:tcBorders>
            <w:gridSpan w:val="4"/>
          </w:tcPr>
          <w:p>
            <w:pPr>
              <w:spacing w:after="0"/>
              <w:rPr>
                <w:sz w:val="16"/>
                <w:szCs w:val="16"/>
                <w:color w:val="auto"/>
              </w:rPr>
            </w:pPr>
          </w:p>
        </w:tc>
        <w:tc>
          <w:tcPr>
            <w:tcW w:w="660" w:type="dxa"/>
            <w:vAlign w:val="bottom"/>
            <w:tcBorders>
              <w:top w:val="single" w:sz="8" w:color="CCEEFF"/>
            </w:tcBorders>
            <w:gridSpan w:val="4"/>
          </w:tcPr>
          <w:p>
            <w:pPr>
              <w:spacing w:after="0"/>
              <w:rPr>
                <w:sz w:val="16"/>
                <w:szCs w:val="16"/>
                <w:color w:val="auto"/>
              </w:rPr>
            </w:pPr>
          </w:p>
        </w:tc>
        <w:tc>
          <w:tcPr>
            <w:tcW w:w="200" w:type="dxa"/>
            <w:vAlign w:val="bottom"/>
            <w:tcBorders>
              <w:top w:val="single" w:sz="8" w:color="0000EE"/>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0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Item 9.</w:t>
            </w:r>
          </w:p>
        </w:tc>
        <w:tc>
          <w:tcPr>
            <w:tcW w:w="420" w:type="dxa"/>
            <w:vAlign w:val="bottom"/>
            <w:shd w:val="clear" w:color="auto" w:fill="CCEEFF"/>
          </w:tcPr>
          <w:p>
            <w:pPr>
              <w:spacing w:after="0"/>
              <w:rPr>
                <w:sz w:val="16"/>
                <w:szCs w:val="16"/>
                <w:color w:val="auto"/>
              </w:rPr>
            </w:pPr>
          </w:p>
        </w:tc>
        <w:tc>
          <w:tcPr>
            <w:tcW w:w="664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Exhibits.</w:t>
            </w:r>
          </w:p>
        </w:tc>
        <w:tc>
          <w:tcPr>
            <w:tcW w:w="860" w:type="dxa"/>
            <w:vAlign w:val="bottom"/>
            <w:tcBorders>
              <w:right w:val="single" w:sz="8" w:color="CCEEFF"/>
            </w:tcBorders>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Annex I Opinion of H.C. Wainwright &amp; Co., LLC</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4"/>
              </w:rPr>
              <w:t>A-I-1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Annex II Section 262 of the General Corporation Law of the State of Delaware</w:t>
            </w:r>
          </w:p>
        </w:tc>
        <w:tc>
          <w:tcPr>
            <w:tcW w:w="400" w:type="dxa"/>
            <w:vAlign w:val="bottom"/>
            <w:shd w:val="clear" w:color="auto" w:fill="CCEEFF"/>
          </w:tcPr>
          <w:p>
            <w:pPr>
              <w:spacing w:after="0"/>
              <w:rPr>
                <w:sz w:val="16"/>
                <w:szCs w:val="16"/>
                <w:color w:val="auto"/>
              </w:rPr>
            </w:pPr>
          </w:p>
        </w:tc>
        <w:tc>
          <w:tcPr>
            <w:tcW w:w="460" w:type="dxa"/>
            <w:vAlign w:val="bottom"/>
            <w:tcBorders>
              <w:right w:val="single" w:sz="8" w:color="CCEEFF"/>
            </w:tcBorders>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5"/>
              </w:rPr>
              <w:t>A-II-1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5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108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Subject Company Information.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Name and Address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name of the subject company is Lisata Therapeutics, Inc., a Delaware corporation (“</w:t>
      </w:r>
      <w:r>
        <w:rPr>
          <w:rFonts w:ascii="Times New Roman" w:cs="Times New Roman" w:eastAsia="Times New Roman" w:hAnsi="Times New Roman"/>
          <w:sz w:val="18"/>
          <w:szCs w:val="18"/>
          <w:b w:val="1"/>
          <w:bCs w:val="1"/>
          <w:color w:val="auto"/>
        </w:rPr>
        <w:t>Lisata</w:t>
      </w:r>
      <w:r>
        <w:rPr>
          <w:rFonts w:ascii="Times New Roman" w:cs="Times New Roman" w:eastAsia="Times New Roman" w:hAnsi="Times New Roman"/>
          <w:sz w:val="18"/>
          <w:szCs w:val="18"/>
          <w:color w:val="auto"/>
        </w:rPr>
        <w:t>” or the</w:t>
      </w:r>
    </w:p>
    <w:p>
      <w:pPr>
        <w:spacing w:after="0" w:line="31" w:lineRule="exact"/>
        <w:rPr>
          <w:sz w:val="20"/>
          <w:szCs w:val="20"/>
          <w:color w:val="auto"/>
        </w:rPr>
      </w:pPr>
    </w:p>
    <w:p>
      <w:pPr>
        <w:ind w:left="300" w:right="101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Unless the context indicates otherwise, we use the terms “us,” “we” and “our” to refer to the Company. The address of the Company’s principal executive office is P.O. Box 173, Liberty Corner, New Jersey 07938. The telephone number of the Company’s principal executive office is (908) 841-0100.</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121"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The title of the class of equity securities to which this Solicitation/Recommendation Statement on Schedule 14D-9 (together with any exhibits and annexes attached hereto, this “</w:t>
      </w:r>
      <w:r>
        <w:rPr>
          <w:rFonts w:ascii="Times New Roman" w:cs="Times New Roman" w:eastAsia="Times New Roman" w:hAnsi="Times New Roman"/>
          <w:sz w:val="18"/>
          <w:szCs w:val="18"/>
          <w:b w:val="1"/>
          <w:bCs w:val="1"/>
          <w:color w:val="auto"/>
        </w:rPr>
        <w:t>Schedule 14D-9</w:t>
      </w:r>
      <w:r>
        <w:rPr>
          <w:rFonts w:ascii="Times New Roman" w:cs="Times New Roman" w:eastAsia="Times New Roman" w:hAnsi="Times New Roman"/>
          <w:sz w:val="18"/>
          <w:szCs w:val="18"/>
          <w:color w:val="auto"/>
        </w:rPr>
        <w:t>”) relates is the Company’s common stock, par value $0.001 per share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As of June 8, 2026, there were (a) 9,101,943 shares of Common Shares issued and outstanding, (b) 10,000 shares of Series B Convertible Redeemable Preferred Stock, par value $0.01 per share, issued and outstanding, (c) 1,244,545 shares subject to issuance pursuant to outstanding Company Stock Options, (d) 286,740 shares that are Company Restricted Stock and (e) 476,862 shares subject to issuance pursuant to outstanding Company RSUs. “</w:t>
      </w:r>
      <w:r>
        <w:rPr>
          <w:rFonts w:ascii="Times New Roman" w:cs="Times New Roman" w:eastAsia="Times New Roman" w:hAnsi="Times New Roman"/>
          <w:sz w:val="18"/>
          <w:szCs w:val="18"/>
          <w:b w:val="1"/>
          <w:bCs w:val="1"/>
          <w:color w:val="auto"/>
        </w:rPr>
        <w:t>Company Equity Plans</w:t>
      </w:r>
      <w:r>
        <w:rPr>
          <w:rFonts w:ascii="Times New Roman" w:cs="Times New Roman" w:eastAsia="Times New Roman" w:hAnsi="Times New Roman"/>
          <w:sz w:val="18"/>
          <w:szCs w:val="18"/>
          <w:color w:val="auto"/>
        </w:rPr>
        <w:t>” means the 2009 Equity Plan, the 2015 Equity Plan, the 2016 Equity Plan, and the 2018 Equity Plan, each as amended and/or restated from time to time, copies of which are filed as Exhibits (e)(8), (e)(9), (e)(10) and (e)(11) to this Schedule 14D-9 and are incorporated herein by reference, and (i) “</w:t>
      </w:r>
      <w:r>
        <w:rPr>
          <w:rFonts w:ascii="Times New Roman" w:cs="Times New Roman" w:eastAsia="Times New Roman" w:hAnsi="Times New Roman"/>
          <w:sz w:val="18"/>
          <w:szCs w:val="18"/>
          <w:b w:val="1"/>
          <w:bCs w:val="1"/>
          <w:color w:val="auto"/>
        </w:rPr>
        <w:t>Company Stock Option</w:t>
      </w:r>
      <w:r>
        <w:rPr>
          <w:rFonts w:ascii="Times New Roman" w:cs="Times New Roman" w:eastAsia="Times New Roman" w:hAnsi="Times New Roman"/>
          <w:sz w:val="18"/>
          <w:szCs w:val="18"/>
          <w:color w:val="auto"/>
        </w:rPr>
        <w:t>” means an option to purchase Common Shares granted under any Company Equity Plan or otherwise, (ii) “</w:t>
      </w:r>
      <w:r>
        <w:rPr>
          <w:rFonts w:ascii="Times New Roman" w:cs="Times New Roman" w:eastAsia="Times New Roman" w:hAnsi="Times New Roman"/>
          <w:sz w:val="18"/>
          <w:szCs w:val="18"/>
          <w:b w:val="1"/>
          <w:bCs w:val="1"/>
          <w:color w:val="auto"/>
        </w:rPr>
        <w:t>Company Restricted Stock</w:t>
      </w:r>
      <w:r>
        <w:rPr>
          <w:rFonts w:ascii="Times New Roman" w:cs="Times New Roman" w:eastAsia="Times New Roman" w:hAnsi="Times New Roman"/>
          <w:sz w:val="18"/>
          <w:szCs w:val="18"/>
          <w:color w:val="auto"/>
        </w:rPr>
        <w:t>” means any restricted Common Shares granted under any Company Equity Plan or otherwise that, as of immediately prior to the Effective Time, are not vested or are subject to a repurchase option, risk of forfeiture or other similar risk or condition under any applicable restricted stock award agreement, and (iii) “</w:t>
      </w:r>
      <w:r>
        <w:rPr>
          <w:rFonts w:ascii="Times New Roman" w:cs="Times New Roman" w:eastAsia="Times New Roman" w:hAnsi="Times New Roman"/>
          <w:sz w:val="18"/>
          <w:szCs w:val="18"/>
          <w:b w:val="1"/>
          <w:bCs w:val="1"/>
          <w:color w:val="auto"/>
        </w:rPr>
        <w:t>Company RSU</w:t>
      </w:r>
      <w:r>
        <w:rPr>
          <w:rFonts w:ascii="Times New Roman" w:cs="Times New Roman" w:eastAsia="Times New Roman" w:hAnsi="Times New Roman"/>
          <w:sz w:val="18"/>
          <w:szCs w:val="18"/>
          <w:color w:val="auto"/>
        </w:rPr>
        <w:t>” means a restricted stock unit granted under any Company Equity Plan or otherwise, including restricted stock units that are fully vested but subject to deferred settlement.</w:t>
      </w:r>
    </w:p>
    <w:p>
      <w:pPr>
        <w:spacing w:after="0" w:line="191"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Identity and Background of Filing Person.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Name and Address</w:t>
      </w:r>
    </w:p>
    <w:p>
      <w:pPr>
        <w:spacing w:after="0" w:line="121" w:lineRule="exact"/>
        <w:rPr>
          <w:sz w:val="20"/>
          <w:szCs w:val="20"/>
          <w:color w:val="auto"/>
        </w:rPr>
      </w:pPr>
    </w:p>
    <w:p>
      <w:pPr>
        <w:ind w:left="300" w:right="539"/>
        <w:spacing w:after="0" w:line="282" w:lineRule="auto"/>
        <w:rPr>
          <w:sz w:val="20"/>
          <w:szCs w:val="20"/>
          <w:color w:val="auto"/>
        </w:rPr>
      </w:pPr>
      <w:r>
        <w:rPr>
          <w:rFonts w:ascii="Times New Roman" w:cs="Times New Roman" w:eastAsia="Times New Roman" w:hAnsi="Times New Roman"/>
          <w:sz w:val="18"/>
          <w:szCs w:val="18"/>
          <w:color w:val="auto"/>
        </w:rPr>
        <w:t>The name, address and telephone number of the Company, which is the person filing this Schedule 14D-9 and the subject company, are set forth in Item 1 above under the heading “</w:t>
      </w:r>
      <w:r>
        <w:rPr>
          <w:rFonts w:ascii="Times New Roman" w:cs="Times New Roman" w:eastAsia="Times New Roman" w:hAnsi="Times New Roman"/>
          <w:sz w:val="18"/>
          <w:szCs w:val="18"/>
          <w:i w:val="1"/>
          <w:iCs w:val="1"/>
          <w:color w:val="auto"/>
        </w:rPr>
        <w:t>Name and Address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Tender Offer</w:t>
      </w:r>
    </w:p>
    <w:p>
      <w:pPr>
        <w:spacing w:after="0" w:line="117"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This Schedule 14D-9 relates to the tender offer by Kuva Acquisition Corp., a Delaware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a direct wholly-owned subsidiary of Kuva Labs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Kuva</w:t>
      </w:r>
      <w:r>
        <w:rPr>
          <w:rFonts w:ascii="Times New Roman" w:cs="Times New Roman" w:eastAsia="Times New Roman" w:hAnsi="Times New Roman"/>
          <w:sz w:val="18"/>
          <w:szCs w:val="18"/>
          <w:color w:val="auto"/>
        </w:rPr>
        <w:t>”), to acquire any and all of the issued and outstanding shares of common stock (each, a “</w:t>
      </w:r>
      <w:r>
        <w:rPr>
          <w:rFonts w:ascii="Times New Roman" w:cs="Times New Roman" w:eastAsia="Times New Roman" w:hAnsi="Times New Roman"/>
          <w:sz w:val="18"/>
          <w:szCs w:val="18"/>
          <w:b w:val="1"/>
          <w:bCs w:val="1"/>
          <w:color w:val="auto"/>
        </w:rPr>
        <w:t>Common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in exchange for (i) $4.00 per Common Share, net to the seller in cash, without interest (the “</w:t>
      </w:r>
      <w:r>
        <w:rPr>
          <w:rFonts w:ascii="Times New Roman" w:cs="Times New Roman" w:eastAsia="Times New Roman" w:hAnsi="Times New Roman"/>
          <w:sz w:val="18"/>
          <w:szCs w:val="18"/>
          <w:b w:val="1"/>
          <w:bCs w:val="1"/>
          <w:color w:val="auto"/>
        </w:rPr>
        <w:t>Closing Amount</w:t>
      </w:r>
      <w:r>
        <w:rPr>
          <w:rFonts w:ascii="Times New Roman" w:cs="Times New Roman" w:eastAsia="Times New Roman" w:hAnsi="Times New Roman"/>
          <w:sz w:val="18"/>
          <w:szCs w:val="18"/>
          <w:color w:val="auto"/>
        </w:rPr>
        <w:t>”) plus (ii) one (1) non-tradeable contingent value right (each, a “</w:t>
      </w:r>
      <w:r>
        <w:rPr>
          <w:rFonts w:ascii="Times New Roman" w:cs="Times New Roman" w:eastAsia="Times New Roman" w:hAnsi="Times New Roman"/>
          <w:sz w:val="18"/>
          <w:szCs w:val="18"/>
          <w:b w:val="1"/>
          <w:bCs w:val="1"/>
          <w:color w:val="auto"/>
        </w:rPr>
        <w:t>CVR</w:t>
      </w:r>
      <w:r>
        <w:rPr>
          <w:rFonts w:ascii="Times New Roman" w:cs="Times New Roman" w:eastAsia="Times New Roman" w:hAnsi="Times New Roman"/>
          <w:sz w:val="18"/>
          <w:szCs w:val="18"/>
          <w:color w:val="auto"/>
        </w:rPr>
        <w:t>”), which represents the contractual right to receive one (1) contingent cash payment equal to $1.25 per CVR upon the achievement of the First Milestone (as defined below) and one (1) contingent cash payment equal to $1.75 per CVR upon the achievement of the Second Milestone (as defined below), in each case, in accordance with the terms and subject to the conditions of a contingent value rights agreement (the “</w:t>
      </w:r>
      <w:r>
        <w:rPr>
          <w:rFonts w:ascii="Times New Roman" w:cs="Times New Roman" w:eastAsia="Times New Roman" w:hAnsi="Times New Roman"/>
          <w:sz w:val="18"/>
          <w:szCs w:val="18"/>
          <w:b w:val="1"/>
          <w:bCs w:val="1"/>
          <w:color w:val="auto"/>
        </w:rPr>
        <w:t>CVR Agreement</w:t>
      </w:r>
      <w:r>
        <w:rPr>
          <w:rFonts w:ascii="Times New Roman" w:cs="Times New Roman" w:eastAsia="Times New Roman" w:hAnsi="Times New Roman"/>
          <w:sz w:val="18"/>
          <w:szCs w:val="18"/>
          <w:color w:val="auto"/>
        </w:rPr>
        <w:t>”) to be entered into with a rights agent selected by Parent and reasonably acceptable to the Company (the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at the time provided for in the CVR Agreement, net to the seller in cash, without interest (the Closing Amount plus one (1) CVR, collectively or any higher amount per Common Share paid pursuant to the Offer, the “</w:t>
      </w:r>
      <w:r>
        <w:rPr>
          <w:rFonts w:ascii="Times New Roman" w:cs="Times New Roman" w:eastAsia="Times New Roman" w:hAnsi="Times New Roman"/>
          <w:sz w:val="18"/>
          <w:szCs w:val="18"/>
          <w:b w:val="1"/>
          <w:bCs w:val="1"/>
          <w:color w:val="auto"/>
        </w:rPr>
        <w:t>Offer Price</w:t>
      </w:r>
      <w:r>
        <w:rPr>
          <w:rFonts w:ascii="Times New Roman" w:cs="Times New Roman" w:eastAsia="Times New Roman" w:hAnsi="Times New Roman"/>
          <w:sz w:val="18"/>
          <w:szCs w:val="18"/>
          <w:color w:val="auto"/>
        </w:rPr>
        <w:t>”) and less any applicable tax withholdings, upon the terms and subject to the conditions set forth in the Offer to Purchase, dated June 10, 2026 (as amended or supplemented from time to time,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in the related Letter of Transmittal (which, together with the Offer to Purchase, as each may be amended or supplemented from time to time, constitute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CVR represents a non-tradable contractual contingent right to receive one (1) contingent cash payment (the</w:t>
      </w:r>
    </w:p>
    <w:p>
      <w:pPr>
        <w:spacing w:after="0" w:line="27"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Milestone Payment</w:t>
      </w:r>
      <w:r>
        <w:rPr>
          <w:rFonts w:ascii="Times New Roman" w:cs="Times New Roman" w:eastAsia="Times New Roman" w:hAnsi="Times New Roman"/>
          <w:sz w:val="18"/>
          <w:szCs w:val="18"/>
          <w:color w:val="auto"/>
        </w:rPr>
        <w:t>”) upon the achievement of, with respect to a Phase 2a, double-blind, placebo-controlled, randomized, proof-of-concept study evaluating LSTA1 when added to standard of care (temozolomide) versus temozolomide and matching LSTA1 placebo in subjects with newly diagnosed Glioblastoma Multiforme (GBM) (Protocol Number: LSTA1-GBM-2A), (i) completion of enrollment of such trial, (ii)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7" w:lineRule="auto"/>
        <w:rPr>
          <w:sz w:val="20"/>
          <w:szCs w:val="20"/>
          <w:color w:val="auto"/>
        </w:rPr>
      </w:pPr>
      <w:r>
        <w:rPr>
          <w:rFonts w:ascii="Times New Roman" w:cs="Times New Roman" w:eastAsia="Times New Roman" w:hAnsi="Times New Roman"/>
          <w:sz w:val="17"/>
          <w:szCs w:val="17"/>
          <w:color w:val="auto"/>
        </w:rPr>
        <w:t>enrollment of at least 90% of the target number of subjects of such trial or (iii) the termination of such trial by its sponsor for any reason (with the term “enrollment” meaning the process of registering qualified participants into such trial after confirming eligibility and obtaining informed consent, marking the point at which the participant becomes a subject of such trial) (the “</w:t>
      </w:r>
      <w:r>
        <w:rPr>
          <w:rFonts w:ascii="Times New Roman" w:cs="Times New Roman" w:eastAsia="Times New Roman" w:hAnsi="Times New Roman"/>
          <w:sz w:val="17"/>
          <w:szCs w:val="17"/>
          <w:b w:val="1"/>
          <w:bCs w:val="1"/>
          <w:color w:val="auto"/>
        </w:rPr>
        <w:t>First Milestone</w:t>
      </w:r>
      <w:r>
        <w:rPr>
          <w:rFonts w:ascii="Times New Roman" w:cs="Times New Roman" w:eastAsia="Times New Roman" w:hAnsi="Times New Roman"/>
          <w:sz w:val="17"/>
          <w:szCs w:val="17"/>
          <w:color w:val="auto"/>
        </w:rPr>
        <w:t>”), which shall be due and payable on the later of December 15, 2026 and the date that is forty-five (45) days following the achievement of the First Milestone, and one (1) contingent cash payment (the “</w:t>
      </w:r>
      <w:r>
        <w:rPr>
          <w:rFonts w:ascii="Times New Roman" w:cs="Times New Roman" w:eastAsia="Times New Roman" w:hAnsi="Times New Roman"/>
          <w:sz w:val="17"/>
          <w:szCs w:val="17"/>
          <w:b w:val="1"/>
          <w:bCs w:val="1"/>
          <w:color w:val="auto"/>
        </w:rPr>
        <w:t>Second Milestone Payment</w:t>
      </w:r>
      <w:r>
        <w:rPr>
          <w:rFonts w:ascii="Times New Roman" w:cs="Times New Roman" w:eastAsia="Times New Roman" w:hAnsi="Times New Roman"/>
          <w:sz w:val="17"/>
          <w:szCs w:val="17"/>
          <w:color w:val="auto"/>
        </w:rPr>
        <w:t>” and, collectively with the First Milestone Payment, the “</w:t>
      </w:r>
      <w:r>
        <w:rPr>
          <w:rFonts w:ascii="Times New Roman" w:cs="Times New Roman" w:eastAsia="Times New Roman" w:hAnsi="Times New Roman"/>
          <w:sz w:val="17"/>
          <w:szCs w:val="17"/>
          <w:b w:val="1"/>
          <w:bCs w:val="1"/>
          <w:color w:val="auto"/>
        </w:rPr>
        <w:t>Milestone Payments</w:t>
      </w:r>
      <w:r>
        <w:rPr>
          <w:rFonts w:ascii="Times New Roman" w:cs="Times New Roman" w:eastAsia="Times New Roman" w:hAnsi="Times New Roman"/>
          <w:sz w:val="17"/>
          <w:szCs w:val="17"/>
          <w:color w:val="auto"/>
        </w:rPr>
        <w:t>”) upon the achievement of the milestone related to the filing or formal acceptance for review by any Governmental Body (as defined in the Merger Agreement) of any (i) New Drug Application submitted to the FDA in the U.S. in accordance with the FDCA requesting approval to market or commercialize any pharmaceutical product that contains or incorporates the product candidate referred to as certepetide (formerly LSTA1 or CEND-1), alone or in combination with one or more other therapeutically active ingredients, including all formulations, dosages, or modes of delivery thereof (the “</w:t>
      </w:r>
      <w:r>
        <w:rPr>
          <w:rFonts w:ascii="Times New Roman" w:cs="Times New Roman" w:eastAsia="Times New Roman" w:hAnsi="Times New Roman"/>
          <w:sz w:val="17"/>
          <w:szCs w:val="17"/>
          <w:b w:val="1"/>
          <w:bCs w:val="1"/>
          <w:color w:val="auto"/>
        </w:rPr>
        <w:t>CVR Product</w:t>
      </w:r>
      <w:r>
        <w:rPr>
          <w:rFonts w:ascii="Times New Roman" w:cs="Times New Roman" w:eastAsia="Times New Roman" w:hAnsi="Times New Roman"/>
          <w:sz w:val="17"/>
          <w:szCs w:val="17"/>
          <w:color w:val="auto"/>
        </w:rPr>
        <w:t>”) for any indication or patient population, or</w:t>
      </w:r>
    </w:p>
    <w:p>
      <w:pPr>
        <w:spacing w:after="0" w:line="1" w:lineRule="exact"/>
        <w:rPr>
          <w:sz w:val="20"/>
          <w:szCs w:val="20"/>
          <w:color w:val="auto"/>
        </w:rPr>
      </w:pPr>
    </w:p>
    <w:p>
      <w:pPr>
        <w:ind w:left="300" w:right="339" w:hanging="8"/>
        <w:spacing w:after="0" w:line="252" w:lineRule="auto"/>
        <w:tabs>
          <w:tab w:leader="none" w:pos="5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application or submission to any other applicable Governmental Body requesting approval to market or commercialize the CVR Product for any indication or patient population (the “</w:t>
      </w:r>
      <w:r>
        <w:rPr>
          <w:rFonts w:ascii="Times New Roman" w:cs="Times New Roman" w:eastAsia="Times New Roman" w:hAnsi="Times New Roman"/>
          <w:sz w:val="18"/>
          <w:szCs w:val="18"/>
          <w:b w:val="1"/>
          <w:bCs w:val="1"/>
          <w:color w:val="auto"/>
        </w:rPr>
        <w:t>Second Milestone</w:t>
      </w:r>
      <w:r>
        <w:rPr>
          <w:rFonts w:ascii="Times New Roman" w:cs="Times New Roman" w:eastAsia="Times New Roman" w:hAnsi="Times New Roman"/>
          <w:sz w:val="18"/>
          <w:szCs w:val="18"/>
          <w:color w:val="auto"/>
        </w:rPr>
        <w:t>” and, collectively with the First Milestone, the “</w:t>
      </w:r>
      <w:r>
        <w:rPr>
          <w:rFonts w:ascii="Times New Roman" w:cs="Times New Roman" w:eastAsia="Times New Roman" w:hAnsi="Times New Roman"/>
          <w:sz w:val="18"/>
          <w:szCs w:val="18"/>
          <w:b w:val="1"/>
          <w:bCs w:val="1"/>
          <w:color w:val="auto"/>
        </w:rPr>
        <w:t>Milestones</w:t>
      </w:r>
      <w:r>
        <w:rPr>
          <w:rFonts w:ascii="Times New Roman" w:cs="Times New Roman" w:eastAsia="Times New Roman" w:hAnsi="Times New Roman"/>
          <w:sz w:val="18"/>
          <w:szCs w:val="18"/>
          <w:color w:val="auto"/>
        </w:rPr>
        <w:t>”), which shall be due and payable on the date that is forty-five (45) days following the achievement of the Second Milestone, in each case, prior to the earliest of (a) the mailing by the Rights Agent to the address or the payment of the Rights Agent to each holder of the Milestone Payment, (b) 11:59 p.m. New York City Time on the seventh (7th) anniversary of the Closing Date (as defined below), and (c) termination of the CVR Agreement.</w:t>
      </w:r>
    </w:p>
    <w:p>
      <w:pPr>
        <w:spacing w:after="0" w:line="80" w:lineRule="exact"/>
        <w:rPr>
          <w:sz w:val="20"/>
          <w:szCs w:val="20"/>
          <w:color w:val="auto"/>
        </w:rPr>
      </w:pPr>
    </w:p>
    <w:p>
      <w:pPr>
        <w:ind w:left="300" w:right="319"/>
        <w:spacing w:after="0" w:line="272" w:lineRule="auto"/>
        <w:rPr>
          <w:sz w:val="20"/>
          <w:szCs w:val="20"/>
          <w:color w:val="auto"/>
        </w:rPr>
      </w:pPr>
      <w:r>
        <w:rPr>
          <w:rFonts w:ascii="Times New Roman" w:cs="Times New Roman" w:eastAsia="Times New Roman" w:hAnsi="Times New Roman"/>
          <w:sz w:val="17"/>
          <w:szCs w:val="17"/>
          <w:color w:val="auto"/>
        </w:rPr>
        <w:t>The Offer is described in a Tender Offer Statement on Schedule TO (as amended or supplemented from time to time, the “</w:t>
      </w:r>
      <w:r>
        <w:rPr>
          <w:rFonts w:ascii="Times New Roman" w:cs="Times New Roman" w:eastAsia="Times New Roman" w:hAnsi="Times New Roman"/>
          <w:sz w:val="17"/>
          <w:szCs w:val="17"/>
          <w:b w:val="1"/>
          <w:bCs w:val="1"/>
          <w:color w:val="auto"/>
        </w:rPr>
        <w:t>Schedule TO</w:t>
      </w:r>
      <w:r>
        <w:rPr>
          <w:rFonts w:ascii="Times New Roman" w:cs="Times New Roman" w:eastAsia="Times New Roman" w:hAnsi="Times New Roman"/>
          <w:sz w:val="17"/>
          <w:szCs w:val="17"/>
          <w:color w:val="auto"/>
        </w:rPr>
        <w:t>”) filed by Parent and Purchaser with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on June 10, 2026. The Offer to Purchase and a form of the Letter of Transmittal are filed as Exhibits (a)(1)(A) and (a)</w:t>
      </w:r>
    </w:p>
    <w:p>
      <w:pPr>
        <w:spacing w:after="0" w:line="2" w:lineRule="exact"/>
        <w:rPr>
          <w:sz w:val="20"/>
          <w:szCs w:val="20"/>
          <w:color w:val="auto"/>
        </w:rPr>
      </w:pPr>
    </w:p>
    <w:p>
      <w:pPr>
        <w:ind w:left="300" w:right="579"/>
        <w:spacing w:after="0" w:line="290" w:lineRule="auto"/>
        <w:rPr>
          <w:sz w:val="20"/>
          <w:szCs w:val="20"/>
          <w:color w:val="auto"/>
        </w:rPr>
      </w:pPr>
      <w:r>
        <w:rPr>
          <w:rFonts w:ascii="Times New Roman" w:cs="Times New Roman" w:eastAsia="Times New Roman" w:hAnsi="Times New Roman"/>
          <w:sz w:val="17"/>
          <w:szCs w:val="17"/>
          <w:color w:val="auto"/>
        </w:rPr>
        <w:t>(1)(B), respectively, to this Schedule 14D-9 and are incorporated herein by reference. The Offer to Purchase and form of Letter of Transmittal are being mailed to the Company’s stockholders together with this Schedule 14D-9.</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Offer is being made pursuant to an Agreement and Plan of Merger, dated as of March 6, 2026 (the “</w:t>
      </w:r>
      <w:r>
        <w:rPr>
          <w:rFonts w:ascii="Times New Roman" w:cs="Times New Roman" w:eastAsia="Times New Roman" w:hAnsi="Times New Roman"/>
          <w:sz w:val="18"/>
          <w:szCs w:val="18"/>
          <w:b w:val="1"/>
          <w:bCs w:val="1"/>
          <w:color w:val="auto"/>
        </w:rPr>
        <w:t>Original</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as amended by that certain Amendment and Waiver to Agreement and Plan of Merger, dated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May 3, 2026, by and among the Company, Purchaser and Parent (the “</w:t>
      </w:r>
      <w:r>
        <w:rPr>
          <w:rFonts w:ascii="Times New Roman" w:cs="Times New Roman" w:eastAsia="Times New Roman" w:hAnsi="Times New Roman"/>
          <w:sz w:val="18"/>
          <w:szCs w:val="18"/>
          <w:b w:val="1"/>
          <w:bCs w:val="1"/>
          <w:color w:val="auto"/>
        </w:rPr>
        <w:t>First Merger Agreement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that certain Amendment to Agreement and Plan of Merger, dated as of May 29, 2026, by and among</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Purchaser and Parent (the “</w:t>
      </w:r>
      <w:r>
        <w:rPr>
          <w:rFonts w:ascii="Times New Roman" w:cs="Times New Roman" w:eastAsia="Times New Roman" w:hAnsi="Times New Roman"/>
          <w:sz w:val="18"/>
          <w:szCs w:val="18"/>
          <w:b w:val="1"/>
          <w:bCs w:val="1"/>
          <w:color w:val="auto"/>
        </w:rPr>
        <w:t>Second Merger Agreement Amendment</w:t>
      </w:r>
      <w:r>
        <w:rPr>
          <w:rFonts w:ascii="Times New Roman" w:cs="Times New Roman" w:eastAsia="Times New Roman" w:hAnsi="Times New Roman"/>
          <w:sz w:val="18"/>
          <w:szCs w:val="18"/>
          <w:color w:val="auto"/>
        </w:rPr>
        <w:t>”), that certain Amendment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Waiver to Agreement and Plan of Merger, dated as of June 8, 2026, by and among the Company, Purchaser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Parent (the “Third Merger Agreement Amendment”) and as it may be further amended from time to time,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among the Company, Purchaser and Parent, pursuant to which, unless otherwise agreed by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Parent and Purchaser, as soon as practicable following consummation of the Offer, but in no event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later than the first (1st) business day after the satisfaction or waiver of the conditions of the Merger set forth in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Merger Agreement, or at such other place or on such other date as Parent and the Company may mutually agree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(such date,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and subject to the satisfaction or waiver of such conditions, Purchaser will merge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and into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the separate corporate existence of Purchaser will cease and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will continue as the surviving corporation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upon the terms and subject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conditions set forth in the Merger Agreement. The Merger will be governed by Section 251(h) of the General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Corporation Law of the State of Delaware, as amended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effected without a vote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Company’s stockholders (the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 In the Merger, each Common Share issued and outstanding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immediately prior to the effective time of the Merger (being such date and at such time as the certificate of merger in</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 of the Merger has been duly filed with the Secretary of State of the State of Delaware or at such later time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be agreed to by Purchaser and the Company and specified in the certificate of merger in accordance with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DGCL,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(other than (i) Common Shares held in the treasury of the Company, (ii) Common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owned by Parent, Purchaser, the Company, or any of their respective direct or indirect wholly-owned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subsidiaries, (iii) Common Shares irrevocably accepted for purchase in the Offer, (iv) Common Shares that 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Rollover Shares (as defined below) and (v) Common Shares held by stockholders who have properly demanded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appraisal of such Common Shares in accordance with the DGCL (the “</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unless such holder fails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perfect or effectively withdraws or otherwise loses his, her or its right to appraisal) (collectively, “</w:t>
      </w:r>
      <w:r>
        <w:rPr>
          <w:rFonts w:ascii="Times New Roman" w:cs="Times New Roman" w:eastAsia="Times New Roman" w:hAnsi="Times New Roman"/>
          <w:sz w:val="18"/>
          <w:szCs w:val="18"/>
          <w:b w:val="1"/>
          <w:bCs w:val="1"/>
          <w:color w:val="auto"/>
        </w:rPr>
        <w:t>Excluded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will be converted into the right to receive the Offer Price, without interest, less applicable withholding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taxes (the “</w:t>
      </w:r>
      <w:r>
        <w:rPr>
          <w:rFonts w:ascii="Times New Roman" w:cs="Times New Roman" w:eastAsia="Times New Roman" w:hAnsi="Times New Roman"/>
          <w:sz w:val="18"/>
          <w:szCs w:val="18"/>
          <w:b w:val="1"/>
          <w:bCs w:val="1"/>
          <w:color w:val="auto"/>
        </w:rPr>
        <w:t>Common Merger Consideration</w:t>
      </w:r>
      <w:r>
        <w:rPr>
          <w:rFonts w:ascii="Times New Roman" w:cs="Times New Roman" w:eastAsia="Times New Roman" w:hAnsi="Times New Roman"/>
          <w:sz w:val="18"/>
          <w:szCs w:val="18"/>
          <w:color w:val="auto"/>
        </w:rPr>
        <w:t>”) and (ii) each of the issued and outstanding Company Preferred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 of Series B Convertible Redeemable Preferred Stock, par value $0.01 per share, of the Company (each, a</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7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Share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and, Common Shares, together with the Preferred Shares,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(other than Excluded Shares) will be converted into the right to receive $0.0005 (the “</w:t>
      </w:r>
      <w:r>
        <w:rPr>
          <w:rFonts w:ascii="Times New Roman" w:cs="Times New Roman" w:eastAsia="Times New Roman" w:hAnsi="Times New Roman"/>
          <w:sz w:val="18"/>
          <w:szCs w:val="18"/>
          <w:b w:val="1"/>
          <w:bCs w:val="1"/>
          <w:color w:val="auto"/>
        </w:rPr>
        <w:t>Preferred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and, together with the Common Merger Consideration, as applicable,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stockholders of the Company (none of which are executives of the Company) (the “</w:t>
      </w:r>
      <w:r>
        <w:rPr>
          <w:rFonts w:ascii="Times New Roman" w:cs="Times New Roman" w:eastAsia="Times New Roman" w:hAnsi="Times New Roman"/>
          <w:sz w:val="18"/>
          <w:szCs w:val="18"/>
          <w:b w:val="1"/>
          <w:bCs w:val="1"/>
          <w:color w:val="auto"/>
        </w:rPr>
        <w:t>Rollover Stockholders</w:t>
      </w:r>
      <w:r>
        <w:rPr>
          <w:rFonts w:ascii="Times New Roman" w:cs="Times New Roman" w:eastAsia="Times New Roman" w:hAnsi="Times New Roman"/>
          <w:sz w:val="18"/>
          <w:szCs w:val="18"/>
          <w:color w:val="auto"/>
        </w:rPr>
        <w:t>”) entered into support agreements with Parent and Purchaser (as they may be amended, restated, supplemented, or otherwise modified from time to time, the “</w:t>
      </w:r>
      <w:r>
        <w:rPr>
          <w:rFonts w:ascii="Times New Roman" w:cs="Times New Roman" w:eastAsia="Times New Roman" w:hAnsi="Times New Roman"/>
          <w:sz w:val="18"/>
          <w:szCs w:val="18"/>
          <w:b w:val="1"/>
          <w:bCs w:val="1"/>
          <w:color w:val="auto"/>
        </w:rPr>
        <w:t>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pursuant to which, among other things, the Rollover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(i) agreed not to tender their Common Shares to Purchaser in the Offer, (ii) agreed to contribute certain of their Common Shares (the “</w:t>
      </w:r>
      <w:r>
        <w:rPr>
          <w:rFonts w:ascii="Times New Roman" w:cs="Times New Roman" w:eastAsia="Times New Roman" w:hAnsi="Times New Roman"/>
          <w:sz w:val="18"/>
          <w:szCs w:val="18"/>
          <w:b w:val="1"/>
          <w:bCs w:val="1"/>
          <w:color w:val="auto"/>
        </w:rPr>
        <w:t>Rollover Shares</w:t>
      </w:r>
      <w:r>
        <w:rPr>
          <w:rFonts w:ascii="Times New Roman" w:cs="Times New Roman" w:eastAsia="Times New Roman" w:hAnsi="Times New Roman"/>
          <w:sz w:val="18"/>
          <w:szCs w:val="18"/>
          <w:color w:val="auto"/>
        </w:rPr>
        <w:t>”) held by the Rollover Stockholders to Parent, in each case, in the amount and as specified in the Support Agreement and (iii) waived the right to receive the Offer Price or Merger Consideration in respect of any Rollover Shares. The Company is not a party to any such Support Agreement. Each Rollover Stockholder will receive from Parent, a simple agreement for future equity (the “</w:t>
      </w:r>
      <w:r>
        <w:rPr>
          <w:rFonts w:ascii="Times New Roman" w:cs="Times New Roman" w:eastAsia="Times New Roman" w:hAnsi="Times New Roman"/>
          <w:sz w:val="18"/>
          <w:szCs w:val="18"/>
          <w:b w:val="1"/>
          <w:bCs w:val="1"/>
          <w:color w:val="auto"/>
        </w:rPr>
        <w:t>Parent SAFE</w:t>
      </w:r>
      <w:r>
        <w:rPr>
          <w:rFonts w:ascii="Times New Roman" w:cs="Times New Roman" w:eastAsia="Times New Roman" w:hAnsi="Times New Roman"/>
          <w:sz w:val="18"/>
          <w:szCs w:val="18"/>
          <w:color w:val="auto"/>
        </w:rPr>
        <w:t>”) on the terms and subject to the conditions set forth in the Parent SAFE.</w:t>
      </w:r>
    </w:p>
    <w:p>
      <w:pPr>
        <w:spacing w:after="0" w:line="86" w:lineRule="exact"/>
        <w:rPr>
          <w:sz w:val="20"/>
          <w:szCs w:val="20"/>
          <w:color w:val="auto"/>
        </w:rPr>
      </w:pPr>
    </w:p>
    <w:p>
      <w:pPr>
        <w:ind w:left="300" w:right="719"/>
        <w:spacing w:after="0" w:line="266" w:lineRule="auto"/>
        <w:rPr>
          <w:sz w:val="20"/>
          <w:szCs w:val="20"/>
          <w:color w:val="auto"/>
        </w:rPr>
      </w:pPr>
      <w:r>
        <w:rPr>
          <w:rFonts w:ascii="Times New Roman" w:cs="Times New Roman" w:eastAsia="Times New Roman" w:hAnsi="Times New Roman"/>
          <w:sz w:val="18"/>
          <w:szCs w:val="18"/>
          <w:color w:val="auto"/>
        </w:rPr>
        <w:t>The treatment of Company Stock Options, Company Restricted Stock and Company RSUs under the Company Equity Plans is discussed below in “</w:t>
      </w:r>
      <w:r>
        <w:rPr>
          <w:rFonts w:ascii="Times New Roman" w:cs="Times New Roman" w:eastAsia="Times New Roman" w:hAnsi="Times New Roman"/>
          <w:sz w:val="18"/>
          <w:szCs w:val="18"/>
          <w:i w:val="1"/>
          <w:iCs w:val="1"/>
          <w:color w:val="auto"/>
        </w:rPr>
        <w:t>Item 3. Past Contacts, Transactions, Negotiations and Agreements-Arrangements Between the Company and its Executive Officers, Directors and Affiliates.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at the Effective Time, each warrant to purchase Common Shares issued by the Company (each a “</w:t>
      </w:r>
      <w:r>
        <w:rPr>
          <w:rFonts w:ascii="Times New Roman" w:cs="Times New Roman" w:eastAsia="Times New Roman" w:hAnsi="Times New Roman"/>
          <w:sz w:val="18"/>
          <w:szCs w:val="18"/>
          <w:b w:val="1"/>
          <w:bCs w:val="1"/>
          <w:color w:val="auto"/>
        </w:rPr>
        <w:t>Company Warrant</w:t>
      </w:r>
      <w:r>
        <w:rPr>
          <w:rFonts w:ascii="Times New Roman" w:cs="Times New Roman" w:eastAsia="Times New Roman" w:hAnsi="Times New Roman"/>
          <w:sz w:val="18"/>
          <w:szCs w:val="18"/>
          <w:color w:val="auto"/>
        </w:rPr>
        <w:t>”) shall be treated in accordance with the terms and conditions specified in such Company Warrant.</w:t>
      </w:r>
    </w:p>
    <w:p>
      <w:pPr>
        <w:spacing w:after="0" w:line="68"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A more complete description of the Merger Agreement can be found in Section 11 of the Offer to Purchase under the caption “</w:t>
      </w:r>
      <w:r>
        <w:rPr>
          <w:rFonts w:ascii="Times New Roman" w:cs="Times New Roman" w:eastAsia="Times New Roman" w:hAnsi="Times New Roman"/>
          <w:sz w:val="18"/>
          <w:szCs w:val="18"/>
          <w:i w:val="1"/>
          <w:iCs w:val="1"/>
          <w:color w:val="auto"/>
        </w:rPr>
        <w:t>The Merger Agreement; Other Agreements-The Merger</w:t>
      </w:r>
      <w:r>
        <w:rPr>
          <w:rFonts w:ascii="Times New Roman" w:cs="Times New Roman" w:eastAsia="Times New Roman" w:hAnsi="Times New Roman"/>
          <w:sz w:val="18"/>
          <w:szCs w:val="18"/>
          <w:color w:val="auto"/>
        </w:rPr>
        <w:t>,” a copy of the Original Merger Agreement has been filed as Exhibit (e)(1)(A) to this Schedule 14D-9, a copy of the First Merger Agreement Amendment has been filed as Exhibit (e)(1)(C) to this Schedule 14D-9, a copy of the Second Merger Agreement Amendment has been filed as Exhibit (e)(1)(D) to this Schedule 14D-9, a copy of the Third Merger Agreement Amendment has been filed as Exhibit (e)(1)(E) to this Schedule 14D-9 and each is incorporated herein by reference. The Offer, the Merger and the other transactions contemplated by the Merger Agreement are collectively referred to as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obligation of Purchaser to purchase Common Shares tendered in the Offer is subject to the satisfaction or waiver</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certain conditions set forth in Annex I to the Merger Agreement, including (i) there shall have been validly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tendered in the Offer and “received” by the “depositary” (as such terms are defined in Section 251(h) of the DGCL),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not validly withdrawn prior to the expiration of the Offer that number of Shares that, considered together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number of Shares (if any) then beneficially owned by Parent and Purchaser (together with their wholly owned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subsidiaries), represents at least a majority of the Shares outstanding as of the consummation of the Offer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Tender Condition</w:t>
      </w:r>
      <w:r>
        <w:rPr>
          <w:rFonts w:ascii="Times New Roman" w:cs="Times New Roman" w:eastAsia="Times New Roman" w:hAnsi="Times New Roman"/>
          <w:sz w:val="18"/>
          <w:szCs w:val="18"/>
          <w:color w:val="auto"/>
        </w:rPr>
        <w:t>”); (ii) no court of competent jurisdiction shall have issued an order, decree or ruling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taken any other action restraining, making illegal, enjoining or otherwise prohibiting the acquisition or payment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the Shares pursuant to the Offer or the consummation of the Merger, and no law that is applicable to the Offer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restraining, making illegal or otherwise prohibiting the acquisition of or payment for the Common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pursuant to the Offer or consummation of the Merger shall be in effect; (iii) the representations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warranties of the Company contained in the Merger Agreement shall be accurate, subject to customary materiality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thresholds and exceptions; (iv) the Company shall have performed or complied in all material respects with its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covenants and agreements contained in the Merger Agreement; (v) there shall not have occurred a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Material Adverse Effect (as defined in the Merger Agreement); and (vi) other customary conditions set forth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Annex I of the Merger Agreement and further summarized in Section 15 of the Offer to Purchase (collectively,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 Conditions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Offer will initially expire at one (1) minute after 11:59 p.m. (New York City time) on July 10, 2026 (the</w:t>
      </w:r>
    </w:p>
    <w:p>
      <w:pPr>
        <w:spacing w:after="0" w:line="27" w:lineRule="exact"/>
        <w:rPr>
          <w:sz w:val="20"/>
          <w:szCs w:val="20"/>
          <w:color w:val="auto"/>
        </w:rPr>
      </w:pPr>
    </w:p>
    <w:p>
      <w:pPr>
        <w:ind w:left="300" w:right="37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Expiration Date</w:t>
      </w:r>
      <w:r>
        <w:rPr>
          <w:rFonts w:ascii="Times New Roman" w:cs="Times New Roman" w:eastAsia="Times New Roman" w:hAnsi="Times New Roman"/>
          <w:sz w:val="17"/>
          <w:szCs w:val="17"/>
          <w:color w:val="auto"/>
        </w:rPr>
        <w:t>”). The Expiration Date may be extended as follows: (i) if on the then scheduled Expiration Date, the Minimum Tender Condition has not been satisfied or any of the other Offer Conditions has not been satisfied, or waived by Parent or Purchaser if permitted under the Merger Agreement, then upon the Company’s written request, Purchaser shall, and Parent shall cause Purchaser to, extend the Offer for one (1) or more periods of time, of up to ten (10) business days per extension in order to permit the satisfaction of such Offer Conditions (subject to the right of Parent or Purchaser to waive any Offer Condition to the extent permitted under the Merger Agreement); and</w:t>
      </w:r>
    </w:p>
    <w:p>
      <w:pPr>
        <w:spacing w:after="0" w:line="1" w:lineRule="exact"/>
        <w:rPr>
          <w:sz w:val="20"/>
          <w:szCs w:val="20"/>
          <w:color w:val="auto"/>
        </w:rPr>
      </w:pPr>
    </w:p>
    <w:p>
      <w:pPr>
        <w:jc w:val="center"/>
        <w:ind w:left="4460" w:right="839" w:hanging="4168"/>
        <w:spacing w:after="0" w:line="511" w:lineRule="auto"/>
        <w:tabs>
          <w:tab w:leader="none" w:pos="5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and Parent shall cause Purchaser to, extend the Offer for the minimum period required by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-27305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applicable rule, regulation, interpretation or position of the SEC or its staff or The Nasdaq Capital Market. However, in no event will Purchaser be required to, and the Purchaser will not, under any circumstances, without the prior consent of the Company, extend the Offer and the then scheduled Expiration Date to a date later than the earlier to occur of (A) the valid termination of the Merger Agreement in accordance with its terms, and (B) July 17, 2026 (subject to extension to August 17, 2026 if the Acceptance Time (as defined in the Merger Agreement) has not occurred by July 17, 2026, and Parent elects to pay to the Company at or before one minute after 11:59 p.m. Eastern Time on July 17, 2026, by wire transfer of immediately available funds to an account designated in writing by the Company, an extension fee of $1,500,000).</w:t>
      </w:r>
    </w:p>
    <w:p>
      <w:pPr>
        <w:spacing w:after="0" w:line="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set forth in the Schedule TO, the principal executive offices of Parent are located at 1980 Post Oak Blvd,</w:t>
      </w:r>
    </w:p>
    <w:p>
      <w:pPr>
        <w:spacing w:after="0" w:line="27" w:lineRule="exact"/>
        <w:rPr>
          <w:sz w:val="20"/>
          <w:szCs w:val="20"/>
          <w:color w:val="auto"/>
        </w:rPr>
      </w:pPr>
    </w:p>
    <w:p>
      <w:pPr>
        <w:jc w:val="both"/>
        <w:ind w:left="300" w:right="359"/>
        <w:spacing w:after="0" w:line="255" w:lineRule="auto"/>
        <w:rPr>
          <w:sz w:val="20"/>
          <w:szCs w:val="20"/>
          <w:color w:val="auto"/>
        </w:rPr>
      </w:pPr>
      <w:r>
        <w:rPr>
          <w:rFonts w:ascii="Times New Roman" w:cs="Times New Roman" w:eastAsia="Times New Roman" w:hAnsi="Times New Roman"/>
          <w:sz w:val="18"/>
          <w:szCs w:val="18"/>
          <w:color w:val="auto"/>
        </w:rPr>
        <w:t>Suite 100, Houston, TX 77056. The telephone number of Parent is (713) 510-3917. The principal executive offices of Purchaser are located at 1980 Post Oak Blvd, Suite 100, Houston, TX 77056. The telephone number of Purchaser is (713) 510-3917.</w:t>
      </w:r>
    </w:p>
    <w:p>
      <w:pPr>
        <w:spacing w:after="0" w:line="78"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 xml:space="preserve">The foregoing summary of the Offer, the Merger, Merger Agreement, the CVR Agreement and the Support Agreement is qualified in its entirety by the description contained in the Offer to Purchase and the Letter of Transmittal, and by the Merger Agreement. The information relating to the Offer, including the Offer to Purchase, the Letter of Transmittal and related documents and this Schedule 14D-9, can be obtained without charge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on the investor relations section of the Company’s website at https://ir.lisata.com/, and the Offer to Purchase and the other related materials are available directly from Campaign Management, LLC, the Information Agent engaged by Purchaser for the Offer, toll free at (888) 725-4553. The information on the Company’s or the SEC’s website is not considered a part of this Schedule 14D-9, nor is such information incorporated herein by reference.</w:t>
      </w:r>
    </w:p>
    <w:p>
      <w:pPr>
        <w:spacing w:after="0" w:line="184"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Past Contacts, Transactions, Negotiations and Agreements.</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Except as set forth or incorporated by reference in this Schedule 14D-9, including in the Definitive Proxy Statement of the Company on Schedule 14A filed with the SEC on April 25, 2025 and filed as Exhibit (e)(17) to this Schedule 14D-9, which is incorporated by reference herein, to our knowledge, as of the date of this Schedule 14D-9, there are no material agreements, arrangements or understandings, nor any actual or potential conflicts of interest between the Company or any of its affiliates, on the one hand and (i) any of its executive officers, directors or affiliates, or (ii) Parent, Purchaser or any of their respective executive officers, directors or affiliates, on the other hand.</w:t>
      </w:r>
    </w:p>
    <w:p>
      <w:pPr>
        <w:spacing w:after="0" w:line="75" w:lineRule="exact"/>
        <w:rPr>
          <w:sz w:val="20"/>
          <w:szCs w:val="20"/>
          <w:color w:val="auto"/>
        </w:rPr>
      </w:pPr>
    </w:p>
    <w:p>
      <w:pPr>
        <w:ind w:left="300" w:right="439"/>
        <w:spacing w:after="0" w:line="268" w:lineRule="auto"/>
        <w:rPr>
          <w:sz w:val="20"/>
          <w:szCs w:val="20"/>
          <w:color w:val="auto"/>
        </w:rPr>
      </w:pPr>
      <w:r>
        <w:rPr>
          <w:rFonts w:ascii="Times New Roman" w:cs="Times New Roman" w:eastAsia="Times New Roman" w:hAnsi="Times New Roman"/>
          <w:sz w:val="18"/>
          <w:szCs w:val="18"/>
          <w:color w:val="auto"/>
        </w:rPr>
        <w:t>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was aware of all such contacts, agreements, arrangements or understandings and any actual or potential conflicts of interest and considered them along with other matters, as set forth in Item 4 below under the heading “</w:t>
      </w:r>
      <w:r>
        <w:rPr>
          <w:rFonts w:ascii="Times New Roman" w:cs="Times New Roman" w:eastAsia="Times New Roman" w:hAnsi="Times New Roman"/>
          <w:sz w:val="18"/>
          <w:szCs w:val="18"/>
          <w:i w:val="1"/>
          <w:iCs w:val="1"/>
          <w:color w:val="auto"/>
        </w:rPr>
        <w:t>Reasons for the Recommendation of the Board</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left="300" w:right="559"/>
        <w:spacing w:after="0" w:line="312" w:lineRule="auto"/>
        <w:rPr>
          <w:sz w:val="20"/>
          <w:szCs w:val="20"/>
          <w:color w:val="auto"/>
        </w:rPr>
      </w:pPr>
      <w:r>
        <w:rPr>
          <w:rFonts w:ascii="Times New Roman" w:cs="Times New Roman" w:eastAsia="Times New Roman" w:hAnsi="Times New Roman"/>
          <w:sz w:val="17"/>
          <w:szCs w:val="17"/>
          <w:color w:val="auto"/>
        </w:rPr>
        <w:t>Any information that is incorporated herein by reference shall be deemed modified or superseded for purposes of this Schedule 14D-9 to the extent that any information contained herein modifies or supersedes such information.</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Arrangements with Purchaser, Parent, and their Affiliates.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Parent, Purchaser and the Company are party to the Merger Agreement, pursuant to which Parent, through Purchaser, will commence the Offer to acquire all of the Common Shares at a price per Common Share of $4.00 in cash plus one (1) CVR, which represents the contractual right to receive a contingent cash payment of $1.25 per CVR upon the achievement of the First Milestone and a contingent cash payment equal to $1.75 per CVR upon the achievement of the Second Milestone, in each case, in accordance with the terms and subject to the conditions of the CVR Agreement, without interest, less any applicable tax withholding. If successful, upon the terms and conditions set forth in the Merger Agreement, the Offer will be followed by a merger of Purchaser with and into the Company, with the Company continuing as the Surviving Corporation and as a wholly-owned subsidiary of Parent. The summary of the material provisions of the Merger Agreement contained in Section 11 of the Offer to Purchase, and the description of the conditions of the Offer contained in Section 15 of the Offer to Purchase are incorporated herein by reference. Such summary and description are qualified in their entirety by reference to the full text of the Merger Agreement.</w:t>
      </w:r>
    </w:p>
    <w:p>
      <w:pPr>
        <w:spacing w:after="0" w:line="82" w:lineRule="exact"/>
        <w:rPr>
          <w:sz w:val="20"/>
          <w:szCs w:val="20"/>
          <w:color w:val="auto"/>
        </w:rPr>
      </w:pPr>
    </w:p>
    <w:p>
      <w:pPr>
        <w:ind w:left="300" w:right="319"/>
        <w:spacing w:after="0" w:line="289" w:lineRule="auto"/>
        <w:rPr>
          <w:sz w:val="20"/>
          <w:szCs w:val="20"/>
          <w:color w:val="auto"/>
        </w:rPr>
      </w:pPr>
      <w:r>
        <w:rPr>
          <w:rFonts w:ascii="Times New Roman" w:cs="Times New Roman" w:eastAsia="Times New Roman" w:hAnsi="Times New Roman"/>
          <w:sz w:val="17"/>
          <w:szCs w:val="17"/>
          <w:color w:val="auto"/>
        </w:rPr>
        <w:t>The Merger Agreement governs the contractual rights among the Company, Parent and the Purchaser in relation to the Offer and the Merger. The Merger Agreement has been included as an exhibit to this Schedule 14D-9 to provide the Company’s stockholders with information regarding the terms of the Merger Agreement. The Merger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contains representations and warranties made by the Company to Parent and Purchaser and representations and warranties made by Parent and Purchaser to the Company. Neither the inclusion of the Merger Agreement nor the summary of the Merger Agreement is intended to modify or supplement any factual disclosures about the Company, Parent or the Purchaser in the Company’s public reports filed with the SEC. In particular, the assertions embodied in these representations and warranties are qualified by information in a confidential disclosure schedule provided by the Company to Parent and the Purchaser in connection with the signing of the Merger Agreement. This disclosure schedule contains information that modifies, qualifies and creates exceptions to the representations and warranties set forth in the Merger Agreement. In addition, the representations and warranties in the Merger Agreement were negotiated with the principal purpose of allocating risk among the Company, Parent and the Purchaser, rather than establishing matters of fact. Additionally, such representations and warranties may also be subject to a contractual standard of materiality that is different from what may be viewed as material by holders of Common Shares or from the standard of materiality generally applicable to reports or documents filed with the SEC. Accordingly, the representations and warranties in the Merger Agreement may not constitute the actual state of facts about the Company, Parent and the Purchaser. The Company’s stockholders should not rely on the representations, warranties and covenants or any descriptions thereof as characterizations of the actual state of facts or conditions of the Company, Parent or the Purchaser, or any of their respective subsidiaries or affiliates, and should consider the information in the Merger Agreement in conjunction with the entirety of the factual disclosure about the Company in its public reports filed with the SEC.</w:t>
      </w:r>
    </w:p>
    <w:p>
      <w:pPr>
        <w:spacing w:after="0" w:line="82" w:lineRule="exact"/>
        <w:rPr>
          <w:sz w:val="20"/>
          <w:szCs w:val="20"/>
          <w:color w:val="auto"/>
        </w:rPr>
      </w:pPr>
    </w:p>
    <w:p>
      <w:pPr>
        <w:ind w:left="300" w:right="399"/>
        <w:spacing w:after="0" w:line="273" w:lineRule="auto"/>
        <w:rPr>
          <w:sz w:val="20"/>
          <w:szCs w:val="20"/>
          <w:color w:val="auto"/>
        </w:rPr>
      </w:pPr>
      <w:r>
        <w:rPr>
          <w:rFonts w:ascii="Times New Roman" w:cs="Times New Roman" w:eastAsia="Times New Roman" w:hAnsi="Times New Roman"/>
          <w:sz w:val="17"/>
          <w:szCs w:val="17"/>
          <w:i w:val="1"/>
          <w:iCs w:val="1"/>
          <w:color w:val="auto"/>
        </w:rPr>
        <w:t>The summary of the material terms of the Merger Agreement and the descriptions of the conditions to the Offer contained in the Offer to Purchase and incorporated herein by reference do not purport to be complete and are qualified in their entirety by reference to the full text of the Original Merger Agreement, which is filed as Exhibit (e)</w:t>
      </w:r>
    </w:p>
    <w:p>
      <w:pPr>
        <w:spacing w:after="0" w:line="1" w:lineRule="exact"/>
        <w:rPr>
          <w:sz w:val="20"/>
          <w:szCs w:val="20"/>
          <w:color w:val="auto"/>
        </w:rPr>
      </w:pPr>
    </w:p>
    <w:p>
      <w:pPr>
        <w:ind w:left="300" w:right="639"/>
        <w:spacing w:after="0" w:line="253" w:lineRule="auto"/>
        <w:rPr>
          <w:sz w:val="20"/>
          <w:szCs w:val="20"/>
          <w:color w:val="auto"/>
        </w:rPr>
      </w:pPr>
      <w:r>
        <w:rPr>
          <w:rFonts w:ascii="Times New Roman" w:cs="Times New Roman" w:eastAsia="Times New Roman" w:hAnsi="Times New Roman"/>
          <w:sz w:val="18"/>
          <w:szCs w:val="18"/>
          <w:i w:val="1"/>
          <w:iCs w:val="1"/>
          <w:color w:val="auto"/>
        </w:rPr>
        <w:t>(1)(A) hereto and is incorporated herein by reference, the First Merger Agreement Amendment, which is filed as Exhibit (e)(1)(C) hereto and is incorporated herein by reference, a copy of the Second Merger Agreement Amendment, which is filed as Exhibit (e)(1)(D) hereto and is incorporated herein by reference, and a copy of the Third Merger Agreement Amendment, which is filed as Exhibit (e)(1)(E) hereto and is incorporated herein by reference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Contingent Value Rights Agreement</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At or prior to the date and time of acceptance for payment for Common Shares validly tendered and not validly withdrawn pursuant to the Offer after such scheduled date the Offer expires, Parent and the Rights Agent will enter into the CVR Agreement. Pursuant to and subject to the terms and conditions of the Merger Agreement, (i) holders of Common Shares (other than Excluded Shares), (ii) holders of Company Restricted Stock, (iii) holders of Company RSUs, (iv) holders of In-the-Money Company Stock Options and (v) holders of Company Warrants that are issued, unexpired and unexercised immediately prior to the Effective Time (each, a “</w:t>
      </w:r>
      <w:r>
        <w:rPr>
          <w:rFonts w:ascii="Times New Roman" w:cs="Times New Roman" w:eastAsia="Times New Roman" w:hAnsi="Times New Roman"/>
          <w:sz w:val="18"/>
          <w:szCs w:val="18"/>
          <w:b w:val="1"/>
          <w:bCs w:val="1"/>
          <w:color w:val="auto"/>
        </w:rPr>
        <w:t>Surviving Warrant</w:t>
      </w:r>
      <w:r>
        <w:rPr>
          <w:rFonts w:ascii="Times New Roman" w:cs="Times New Roman" w:eastAsia="Times New Roman" w:hAnsi="Times New Roman"/>
          <w:sz w:val="18"/>
          <w:szCs w:val="18"/>
          <w:color w:val="auto"/>
        </w:rPr>
        <w:t>”) when such Surviving Warrant is exercised following the Effective Time in accordance with its terms, will become entitled to one (1) CVR for each Common Share outstanding (A) that Purchaser accepts for payment from such holder pursuant to the Offer or (B) owned by or issued to such holder as of immediately prior to the Effective Time and converted into the right to receive the Merger Consideration pursuant to the Merger Agreement. The CVRs are contractual rights only and not transferable except under certain limited circumstances, will not be certificated or evidenced by any instrument and will not be registered with the SEC or listed for trading. The CVRs will not have any voting or dividend rights and will not represent any equity or ownership interest in Parent, Purchaser or the Company or any of their affiliates. No interest will accrue or be payable in respect of any of the amounts that may become payable in respect of the CVRs.</w:t>
      </w:r>
    </w:p>
    <w:p>
      <w:pPr>
        <w:spacing w:after="0" w:line="88"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The CVR represents a non-tradable contractual contingent right to receive the First Milestone Payment upon the achievement of the First Milestone, which shall be due and payable on the later of December 15, 2026 and the date that is forty-five (45) days following the achievement of the First Milestone, and the Second Milestone Payment upon the achievement of the Second Milestone, which shall be due and payable on the date that is forty-five (45) days following the achievement of the Second Milestone.</w:t>
      </w:r>
    </w:p>
    <w:p>
      <w:pPr>
        <w:spacing w:after="0" w:line="75" w:lineRule="exact"/>
        <w:rPr>
          <w:sz w:val="20"/>
          <w:szCs w:val="20"/>
          <w:color w:val="auto"/>
        </w:rPr>
      </w:pPr>
    </w:p>
    <w:p>
      <w:pPr>
        <w:ind w:left="300" w:right="339"/>
        <w:spacing w:after="0" w:line="274" w:lineRule="auto"/>
        <w:rPr>
          <w:sz w:val="20"/>
          <w:szCs w:val="20"/>
          <w:color w:val="auto"/>
        </w:rPr>
      </w:pPr>
      <w:r>
        <w:rPr>
          <w:rFonts w:ascii="Times New Roman" w:cs="Times New Roman" w:eastAsia="Times New Roman" w:hAnsi="Times New Roman"/>
          <w:sz w:val="17"/>
          <w:szCs w:val="17"/>
          <w:color w:val="auto"/>
        </w:rPr>
        <w:t>The First Milestone Payment is an amount equal to $1.25 per CVR in cash, without interest, due and payable on the later of December 15, 2026 and the date that is forty-five (45) days following the achievement of the First Milestone if the First Milestone is achieved before the termination of the CVR Agreement. The Second Milestone Payment is an amount equal to $1.75 per CVR in cash, without interest, due and payable on the date that is forty-five (45) days following the achievement of the Second Milestone if the Second Milestone is achieved before the termination of the CVR Agreement. The CVR Agreement will automatically terminate upon the earliest of (i) the mailing by the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spacing w:after="0" w:line="276" w:lineRule="auto"/>
        <w:rPr>
          <w:sz w:val="20"/>
          <w:szCs w:val="20"/>
          <w:color w:val="auto"/>
        </w:rPr>
      </w:pPr>
      <w:r>
        <w:rPr>
          <w:rFonts w:ascii="Times New Roman" w:cs="Times New Roman" w:eastAsia="Times New Roman" w:hAnsi="Times New Roman"/>
          <w:sz w:val="17"/>
          <w:szCs w:val="17"/>
          <w:color w:val="auto"/>
        </w:rPr>
        <w:t>Rights Agent to the address or the payment of the Rights Agent to each holder of the First Milestone Payment (if any) and the Second Milestone Payment (if any), (ii) the delivery of a joint notice of termination of the parties or</w:t>
      </w:r>
    </w:p>
    <w:p>
      <w:pPr>
        <w:spacing w:after="0" w:line="1" w:lineRule="exact"/>
        <w:rPr>
          <w:sz w:val="20"/>
          <w:szCs w:val="20"/>
          <w:color w:val="auto"/>
        </w:rPr>
      </w:pPr>
    </w:p>
    <w:p>
      <w:pPr>
        <w:ind w:left="300" w:right="739" w:hanging="8"/>
        <w:spacing w:after="0" w:line="260"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seventh (7th) anniversary of the Closing Date. Each Milestone Payment will only be due once, if at all, subject to the achievement of the applicable Milestone prior to the termination of the CVR Agreement.</w:t>
      </w:r>
    </w:p>
    <w:p>
      <w:pPr>
        <w:spacing w:after="0" w:line="73"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Each holder of a Company Stock Option that has a per Common Share exercise price that is less than $4.00 per Common Share as of immediately prior to the Effective Time (an “</w:t>
      </w:r>
      <w:r>
        <w:rPr>
          <w:rFonts w:ascii="Times New Roman" w:cs="Times New Roman" w:eastAsia="Times New Roman" w:hAnsi="Times New Roman"/>
          <w:sz w:val="18"/>
          <w:szCs w:val="18"/>
          <w:b w:val="1"/>
          <w:bCs w:val="1"/>
          <w:color w:val="auto"/>
        </w:rPr>
        <w:t>In-The Money Company Stock Option</w:t>
      </w:r>
      <w:r>
        <w:rPr>
          <w:rFonts w:ascii="Times New Roman" w:cs="Times New Roman" w:eastAsia="Times New Roman" w:hAnsi="Times New Roman"/>
          <w:sz w:val="18"/>
          <w:szCs w:val="18"/>
          <w:color w:val="auto"/>
        </w:rPr>
        <w:t>”) (or portion thereof) that is outstanding immediately prior to the Effective Time, whether or not vested, will be entitled to one (1) CVR for each Common Share subject to such In-The Money Company Stock Option immediately prior to the Effective Time.</w:t>
      </w:r>
    </w:p>
    <w:p>
      <w:pPr>
        <w:spacing w:after="0" w:line="75"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Each Company Stock Option that has a per Common Share exercise price that equals or exceeds $4.00 per Common Share as of immediately prior to the Effective Time (an “</w:t>
      </w:r>
      <w:r>
        <w:rPr>
          <w:rFonts w:ascii="Times New Roman" w:cs="Times New Roman" w:eastAsia="Times New Roman" w:hAnsi="Times New Roman"/>
          <w:sz w:val="18"/>
          <w:szCs w:val="18"/>
          <w:b w:val="1"/>
          <w:bCs w:val="1"/>
          <w:color w:val="auto"/>
        </w:rPr>
        <w:t>Out-Of-The-Money Company Stock Option</w:t>
      </w:r>
      <w:r>
        <w:rPr>
          <w:rFonts w:ascii="Times New Roman" w:cs="Times New Roman" w:eastAsia="Times New Roman" w:hAnsi="Times New Roman"/>
          <w:sz w:val="18"/>
          <w:szCs w:val="18"/>
          <w:color w:val="auto"/>
        </w:rPr>
        <w:t>”) (or portion thereof) that is outstanding immediately prior to the Effective Time, shall be cancelled without any consideration being payable in respect thereof.</w:t>
      </w:r>
    </w:p>
    <w:p>
      <w:pPr>
        <w:spacing w:after="0" w:line="72"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Each holder of a Company RSU (or portion thereof) that is outstanding immediately prior to the Effective Time will be entitled to one (1) CVR for each Common Share subject to such Company RSU immediately prior to the Effective Time.</w:t>
      </w:r>
    </w:p>
    <w:p>
      <w:pPr>
        <w:spacing w:after="0" w:line="68"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Each holder of a share of Company Restricted Stock (or portion thereof) that is outstanding immediately prior to the Effective Time will be entitled to one (1) CVR for each share of Company Restricted Stock held prior to the Effective Time.</w:t>
      </w:r>
    </w:p>
    <w:p>
      <w:pPr>
        <w:spacing w:after="0" w:line="68"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With respect to each Common Share issued upon the exercise of any Company Warrants prior to the Effective Time, the holder of such Common Share will be entitled to one (1) CVR for each Common Share. The holder of a Surviving Warrant, when such Surviving Warrant is exercised following the Effective Time in accordance with its terms will be issued a number of CVRs to which such holder is entitled pursuant to the Surviving Warrant in a denomination equal to the number of Common Shares for which such Surviving Warrant is exercised.</w:t>
      </w:r>
    </w:p>
    <w:p>
      <w:pPr>
        <w:spacing w:after="0" w:line="75"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Under the terms of the CVR Agreement, Parent will, and will cause its subsidiaries, including the Surviving Corporation, to use its best efforts to achieve the First Milestone and Commercially Reasonable Efforts (as defined below) to achieve the Second Milestone, in each case, prior to the termination of the CVR Agreement in accordance with its terms, which terminates upon the earliest to occur of (i) the mailing by the Rights Agent to the address or the payment of the Rights Agent to each holder of the Milestone Payments, (ii) on the seventh (7th) anniversary of the Closing Date, and (iii) delivery of a joint written notice of termination duly executed by Parent and the Acting Holders (as defined below). However, use of Commercially Reasonable Efforts does not guarantee that Parent will achieve any Milestone by a specific date or at all. Whether any Milestone required for payment of any Milestone Payment is achieved will depend on many factors, some within control of Parent and its subsidiaries and others outside the control of Parent and its subsidiaries. There can be no assurance that the Milestones will be achieved prior to their applicable expiration dates or that the payment will be required of Parent with respect to the Milestones. If a Milestone is not achieved in the applicable timeframe, the applicable Milestone Payment will not be due or payable to holders of CVRs and any associated covenants and obligations of Parent and Purchaser will irrevocably terminate in accordance with the terms of the CVR Agreement.</w:t>
      </w:r>
    </w:p>
    <w:p>
      <w:pPr>
        <w:spacing w:after="0" w:line="85"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that level of efforts, expertise and resources consistent with the efforts, expertise and resources typically used by Parent and its affiliates (including, after the Effective Time, the Surviving Corporation) to carry out a particular task or obligation, consistent with the general practice followed by Parent and its affiliates (including, after the Effective Time, the Surviving Corporation) relating to other pharmaceutical compounds, products or therapies owned by it, or to which it has exclusive rights, which are of similar market potential at a similar stage in their development or product life, taking into account all relevant factors, including issues of safety and efficacy; product profile; the expected probability of technical success of the applicable compound, product or therapy; the progress and outcome of any development efforts with respect to the applicable compound, product or therapy; the competitiveness of other compounds, products or therapies in development and in the marketplace; supply chain management considerations; the proprietary position of the compound, product or therapy (including with respect to patent or regulatory exclusivity); the regulatory structure involved; the expected cost and profitability of the applicable compound, product or therapy; and other relevant commercial, technical, legal, scientific or medical factors; provided, however, that Commercially Reasonable Efforts shall in any event require no less than the level of efforts and resources that would be used by a reasonable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biotechnology company of size, resources and capabilities comparable to Parent and its affiliates (including, after the Effective Time, the Surviving Corporation). Parent and Company agree that the level of efforts that constitute Commercially Reasonable Efforts may change over time, reflecting changes in the status of a product, compound or therapy and the indications involved.</w:t>
      </w:r>
    </w:p>
    <w:p>
      <w:pPr>
        <w:spacing w:after="0" w:line="7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 xml:space="preserve">The CVRs may not be sold, assigned, transferred, pledged, encumbered or in any other manner transferred or disposed of, in whole or in part, except that certain CVRs may be held through The Depository Trust Company, and except (i) by will or intestacy upon death of a holder, (ii) by instrument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testamentary trust in which the CVRs are to be passed to beneficiaries upon the death of the settlor, (iii) pursuant to a court order, (iv) by operation of law (including by consolidation or merger of the holder) or if effectuated without consideration in connection with the dissolution, liquidation or termination of any holder that is a corporation, limited liability company, partnership or other entity, (v) in the case of CVRs held in book-entry or other similar nominee form, from a nominee to a beneficial owner and, if applicable, through an intermediary, (vi) if the holder is a partnership or limited liability company, a distribution by the transferring partnership or limited liability company to its partners or members, as applicable (so long as such distribution does not subject the CVRs to a requirement of registration under the Securities Act of 1933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the Exchange Act) or (vii) to Parent or Purchaser in connection with the abandonment of such CVR by the applicable holder.</w:t>
      </w:r>
    </w:p>
    <w:p>
      <w:pPr>
        <w:spacing w:after="0" w:line="78"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The Rights Agent will create and maintain a register (the “</w:t>
      </w:r>
      <w:r>
        <w:rPr>
          <w:rFonts w:ascii="Times New Roman" w:cs="Times New Roman" w:eastAsia="Times New Roman" w:hAnsi="Times New Roman"/>
          <w:sz w:val="18"/>
          <w:szCs w:val="18"/>
          <w:b w:val="1"/>
          <w:bCs w:val="1"/>
          <w:color w:val="auto"/>
        </w:rPr>
        <w:t>CVR Register</w:t>
      </w:r>
      <w:r>
        <w:rPr>
          <w:rFonts w:ascii="Times New Roman" w:cs="Times New Roman" w:eastAsia="Times New Roman" w:hAnsi="Times New Roman"/>
          <w:sz w:val="18"/>
          <w:szCs w:val="18"/>
          <w:color w:val="auto"/>
        </w:rPr>
        <w:t>”) for the purpose of (i) identifying holders of CVRs and (ii) registering CVRs in book-entry position and any transfers of CVRs that are permitted under the CVR Agreement. The CVR Register will set forth (x) with respect to holders of the Common Shares that hold such Common Shares in book-entry form through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immediately prior to the Effective Time, one (1) book-entry position for Cede &amp; Co. (as nominee of DTC) for the applicable number of CVRs to which such holders are entitled with respect to all such Common Shares that were tendered in the Offer or converted into the right to receive the Offer Price as a consequence of the Merger in accordance with the terms of the Merger Agreement, (y) with respect to (A) holders of Common Shares that hold such Common Shares in certificated form immediately prior to the Effective Time that were tendered in the Offer or converted into the right to receive the Offer Price as a consequence of the Merger in accordance with the terms of the Merger Agreement, upon delivery to Equiniti Trust Company, LLC, the depositary and paying agent for the Offer (in such capacity,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by each such holder of the applicable stock certificates, together with a validly executed letter of transmittal and such other customary documents as may be reasonably requested by the Depositary, in accordance with the Merger Agreement, (B) holders of Common Shares that hold such Common Shares in book-entry form through the Company’s transfer agent immediately prior to Effective Time, (C) holders of Company RSUs,</w:t>
      </w:r>
    </w:p>
    <w:p>
      <w:pPr>
        <w:spacing w:after="0" w:line="2" w:lineRule="exact"/>
        <w:rPr>
          <w:sz w:val="20"/>
          <w:szCs w:val="20"/>
          <w:color w:val="auto"/>
        </w:rPr>
      </w:pPr>
    </w:p>
    <w:p>
      <w:pPr>
        <w:ind w:left="300" w:right="319" w:hanging="8"/>
        <w:spacing w:after="0" w:line="251" w:lineRule="auto"/>
        <w:tabs>
          <w:tab w:leader="none" w:pos="5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Company Restricted Stock and (E) holders of In-The-Money Company Stock Options, and, in each case of clauses (A) through (E), the applicable number of CVRs to which each such holder is entitled pursuant to the Merger Agreement and (z) with respect to holders of Surviving Warrants that exercise such Surviving Warrants, the applicable number of CVRs to which each such holder is entitled pursuant to the terms of Surviving Warrant in a denomination equal to the number of shares of Common Shares (subject to adjustment to appropriately reflect any reclassification, subdivision, stock split, combination, reverse stock split, stock dividend and the like) for which such Surviving Warrant has been exercised (other than, in the case of the foregoing clauses (x), (y)(A) and (y)(B), those who have perfected their appraisal rights in accordance with Section 262 of the DGCL). The CVR Register will be updated as necessary by the Rights Agent to reflect the addition or removal of holders (pursuant to any permitted transfers), upon the written receipt of such information by the Rights Agent. Upon the exercise of any Surviving Warrant in accordance with its terms, the CVRs issued shall be initially registered in the name and address of the holder of such Surviving Warrant as set forth in the records of the Company at the Effective Time.</w:t>
      </w:r>
    </w:p>
    <w:p>
      <w:pPr>
        <w:spacing w:after="0" w:line="84"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 CVR Agreement provides that, other than the rights of the Rights Agent as set forth in the CVR Agreement, holders of at least 50% of outstanding CVRs set forth in the CVR Register (the “</w:t>
      </w:r>
      <w:r>
        <w:rPr>
          <w:rFonts w:ascii="Times New Roman" w:cs="Times New Roman" w:eastAsia="Times New Roman" w:hAnsi="Times New Roman"/>
          <w:sz w:val="18"/>
          <w:szCs w:val="18"/>
          <w:b w:val="1"/>
          <w:bCs w:val="1"/>
          <w:color w:val="auto"/>
        </w:rPr>
        <w:t>Acting Holders</w:t>
      </w:r>
      <w:r>
        <w:rPr>
          <w:rFonts w:ascii="Times New Roman" w:cs="Times New Roman" w:eastAsia="Times New Roman" w:hAnsi="Times New Roman"/>
          <w:sz w:val="18"/>
          <w:szCs w:val="18"/>
          <w:color w:val="auto"/>
        </w:rPr>
        <w:t>”) have the sole right, on behalf of all holders of CVRs, by virtue of or under any provision of the CVR Agreement, to institute any action or proceeding with respect to the CVR Agreement, and no individual holder or other group of holders of CVRs will be entitled to exercise such rights. However, the foregoing does not limit the ability of an individual holder of CVRs to seek a payment due from the applicable party solely to the extent such payment, and the amount of such payment, has been finally determined to be due and payable and has not been paid within the period contemplated by the CVR Agreement. The holders of CVRs shall not be entitled to specific enforcement of Parent’s obligations to use Commercially Reasonable Efforts to achieve the Milestones.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Additionally, the CVR Agreement provides (i) Parent and the Surviving Corporation the right to amend, without the consent of any holders of CVRs or the Rights Agent, the CVR Agreement in certain instances, including</w:t>
      </w:r>
    </w:p>
    <w:p>
      <w:pPr>
        <w:ind w:left="300" w:right="339" w:hanging="8"/>
        <w:spacing w:after="0" w:line="251" w:lineRule="auto"/>
        <w:tabs>
          <w:tab w:leader="none" w:pos="5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successor to Parent or to Purchaser, (B) adding to the covenants of Parent and Purchaser as Parent, Purchaser and the Rights Agent will consider to be for the protection of holders of CVRs (if such provisions do not adversely affect the interests of holders of CVRs (as a group and in their capacity as such)), (C) curing any ambiguities, correcting or supplementing any provisions of the CVR Agreement that may be defective or inconsistent therein or making any provisions with respect to matters or questions arising under the CVR Agreement (if such provisions do not adversely affect the interests of holders of CVRs (as a group and in their capacity as such)), (D) amendments as may be necessary or appropriate to ensure that the CVRs are not subject to registration under the Securities Act, the Exchange Act, or any similar registration or prospectus requirement under applicable securities laws outside the United States (if such provisions do not change the Milestones or the Milestone Payments), (E) providing for a successor rights agent, (F) any other amendments for the purpose of adding, eliminating or changing any provisions of the CVR Agreement, unless such addition, elimination or change is adverse to the interests of holders of CVRs (as a group and in their capacity as such), or (ii) Parent and the Rights Agent the right to amend, without the consent of any holders of CVRs, the CVR Agreement to reduce the number of CVRs in the event any holder of CVRs agrees to abandon or renounce such holder’s rights under the CVR Agreement.</w:t>
      </w:r>
    </w:p>
    <w:p>
      <w:pPr>
        <w:spacing w:after="0" w:line="83"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Parent may also amend the CVR Agreement in other circumstances, including in a manner that is materially adverse to the interests of the holders of CVRs, if Parent and Purchaser obtain the consent of the Acting Holders, whether evidenced in writing or taken at a meeting of such holders.</w:t>
      </w:r>
    </w:p>
    <w:p>
      <w:pPr>
        <w:spacing w:after="0" w:line="66" w:lineRule="exact"/>
        <w:rPr>
          <w:sz w:val="20"/>
          <w:szCs w:val="20"/>
          <w:color w:val="auto"/>
        </w:rPr>
      </w:pPr>
    </w:p>
    <w:p>
      <w:pPr>
        <w:jc w:val="both"/>
        <w:ind w:left="300" w:right="399"/>
        <w:spacing w:after="0" w:line="267" w:lineRule="auto"/>
        <w:rPr>
          <w:sz w:val="20"/>
          <w:szCs w:val="20"/>
          <w:color w:val="auto"/>
        </w:rPr>
      </w:pPr>
      <w:r>
        <w:rPr>
          <w:rFonts w:ascii="Times New Roman" w:cs="Times New Roman" w:eastAsia="Times New Roman" w:hAnsi="Times New Roman"/>
          <w:sz w:val="18"/>
          <w:szCs w:val="18"/>
          <w:i w:val="1"/>
          <w:iCs w:val="1"/>
          <w:color w:val="auto"/>
        </w:rPr>
        <w:t>The foregoing summary of the CVR Agreement does not purport to be complete and is qualified in its entirety by the more detailed description and explanation contained in the Offer to Purchase and the CVR Agreement, the form of which is filed as Exhibit (e)(6)(2) and incorporated herein by reference.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Concurrently with the execution of the Original Merger Agreement, the Rollover Stockholders entered into Support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Agreements with Parent and Purchaser pursuant to which, among other things, the Rollover Stockholders have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agreed to contribute and transfer a certain amount of Common Shares with an aggregate value of approximately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$5,457,042 (the “</w:t>
      </w:r>
      <w:r>
        <w:rPr>
          <w:rFonts w:ascii="Times New Roman" w:cs="Times New Roman" w:eastAsia="Times New Roman" w:hAnsi="Times New Roman"/>
          <w:sz w:val="18"/>
          <w:szCs w:val="18"/>
          <w:b w:val="1"/>
          <w:bCs w:val="1"/>
          <w:color w:val="auto"/>
        </w:rPr>
        <w:t>Rollover Shares</w:t>
      </w:r>
      <w:r>
        <w:rPr>
          <w:rFonts w:ascii="Times New Roman" w:cs="Times New Roman" w:eastAsia="Times New Roman" w:hAnsi="Times New Roman"/>
          <w:sz w:val="18"/>
          <w:szCs w:val="18"/>
          <w:color w:val="auto"/>
        </w:rPr>
        <w:t>”), which Rollover Shares otherwise would be converted into the right to receive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Offer Price, to Parent, immediately after the Acceptance Time (as defined in the Merger Agreement)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immediately prior to the Effective Time (the “</w:t>
      </w:r>
      <w:r>
        <w:rPr>
          <w:rFonts w:ascii="Times New Roman" w:cs="Times New Roman" w:eastAsia="Times New Roman" w:hAnsi="Times New Roman"/>
          <w:sz w:val="18"/>
          <w:szCs w:val="18"/>
          <w:b w:val="1"/>
          <w:bCs w:val="1"/>
          <w:color w:val="auto"/>
        </w:rPr>
        <w:t>Exchange Time</w:t>
      </w:r>
      <w:r>
        <w:rPr>
          <w:rFonts w:ascii="Times New Roman" w:cs="Times New Roman" w:eastAsia="Times New Roman" w:hAnsi="Times New Roman"/>
          <w:sz w:val="18"/>
          <w:szCs w:val="18"/>
          <w:color w:val="auto"/>
        </w:rPr>
        <w:t>”). Each Rollover Stockholder will receive from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Parent, a simple agreement for future equity (the “</w:t>
      </w:r>
      <w:r>
        <w:rPr>
          <w:rFonts w:ascii="Times New Roman" w:cs="Times New Roman" w:eastAsia="Times New Roman" w:hAnsi="Times New Roman"/>
          <w:sz w:val="18"/>
          <w:szCs w:val="18"/>
          <w:b w:val="1"/>
          <w:bCs w:val="1"/>
          <w:color w:val="auto"/>
        </w:rPr>
        <w:t>Parent SAFE</w:t>
      </w:r>
      <w:r>
        <w:rPr>
          <w:rFonts w:ascii="Times New Roman" w:cs="Times New Roman" w:eastAsia="Times New Roman" w:hAnsi="Times New Roman"/>
          <w:sz w:val="18"/>
          <w:szCs w:val="18"/>
          <w:color w:val="auto"/>
        </w:rPr>
        <w:t>”) on the terms and subject to the conditions set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forth in the Parent SAFE. Pursuant to the Support Agreements, each Rollover Stockholder agreed to not, directly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indirectly, tender its Rollover Shares, or cause its Rollover Shares to be tendered, into the Offer, including 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“subsequent offering period” in accordance with Rule 14d-11 promulgated under the Exchange Act, in any manner,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enter into any agreement, transaction or arrangement that results or could reasonably be expected to result in such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Rollover Shares being tendered or capable of being tendered into the Offer, including any “subsequent offering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period” in accordance with Rule 14d-11 promulgated under the Exchange Act. Each Rollover Stockholder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irrevocably and unconditionally waives the right to receive the Offer Price or the Merger Consideration in respect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Rollover Shares. The Company is not a party to any such Support Agreement.</w:t>
      </w:r>
    </w:p>
    <w:p>
      <w:pPr>
        <w:spacing w:after="0" w:line="97" w:lineRule="exact"/>
        <w:rPr>
          <w:sz w:val="20"/>
          <w:szCs w:val="20"/>
          <w:color w:val="auto"/>
        </w:rPr>
      </w:pPr>
    </w:p>
    <w:p>
      <w:pPr>
        <w:ind w:left="300" w:right="359"/>
        <w:spacing w:after="0" w:line="267" w:lineRule="auto"/>
        <w:rPr>
          <w:sz w:val="20"/>
          <w:szCs w:val="20"/>
          <w:color w:val="auto"/>
        </w:rPr>
      </w:pPr>
      <w:r>
        <w:rPr>
          <w:rFonts w:ascii="Times New Roman" w:cs="Times New Roman" w:eastAsia="Times New Roman" w:hAnsi="Times New Roman"/>
          <w:sz w:val="18"/>
          <w:szCs w:val="18"/>
          <w:i w:val="1"/>
          <w:iCs w:val="1"/>
          <w:color w:val="auto"/>
        </w:rPr>
        <w:t>The foregoing summary of the Support Agreements does not purport to be complete and is qualified in its entirety by the more detailed description and explanation contained in the Offer to Purchase and the Support Agreement, the form of which is filed as Exhibit (e)(7) and incorporated herein by reference.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Mutual Nondisclosure Agreement</w:t>
      </w:r>
    </w:p>
    <w:p>
      <w:pPr>
        <w:spacing w:after="0" w:line="121" w:lineRule="exact"/>
        <w:rPr>
          <w:sz w:val="20"/>
          <w:szCs w:val="20"/>
          <w:color w:val="auto"/>
        </w:rPr>
      </w:pPr>
    </w:p>
    <w:p>
      <w:pPr>
        <w:ind w:left="300" w:right="299"/>
        <w:spacing w:after="0" w:line="268" w:lineRule="auto"/>
        <w:rPr>
          <w:sz w:val="20"/>
          <w:szCs w:val="20"/>
          <w:color w:val="auto"/>
        </w:rPr>
      </w:pPr>
      <w:r>
        <w:rPr>
          <w:rFonts w:ascii="Times New Roman" w:cs="Times New Roman" w:eastAsia="Times New Roman" w:hAnsi="Times New Roman"/>
          <w:sz w:val="17"/>
          <w:szCs w:val="17"/>
          <w:color w:val="auto"/>
        </w:rPr>
        <w:t>In connection with the Transactions, Parent and the Company entered into a Mutual Nondisclosure Agreement, dated as of April 23, 2025 (the “</w:t>
      </w:r>
      <w:r>
        <w:rPr>
          <w:rFonts w:ascii="Times New Roman" w:cs="Times New Roman" w:eastAsia="Times New Roman" w:hAnsi="Times New Roman"/>
          <w:sz w:val="17"/>
          <w:szCs w:val="17"/>
          <w:b w:val="1"/>
          <w:bCs w:val="1"/>
          <w:color w:val="auto"/>
        </w:rPr>
        <w:t>Mutual Nondisclosure Agreement</w:t>
      </w:r>
      <w:r>
        <w:rPr>
          <w:rFonts w:ascii="Times New Roman" w:cs="Times New Roman" w:eastAsia="Times New Roman" w:hAnsi="Times New Roman"/>
          <w:sz w:val="17"/>
          <w:szCs w:val="17"/>
          <w:color w:val="auto"/>
        </w:rPr>
        <w:t>”). Under the terms of the Mutual Nondisclosure Agreement, Parent and the Company agreed that, subject to certain customary exceptions including the ability to make disclosures required by applicable law, any non-public information each may make available to the other and their respective representatives will not be disclosed or used for any purpose other than to evaluate and engage in discussions or execute any definitive agreement concerning a potential business opportunity between the parties. The Mutual Nondisclosure Agreement will terminate upon the earlier of (i) one (1) year after April 23, 2025 and</w:t>
      </w:r>
    </w:p>
    <w:p>
      <w:pPr>
        <w:spacing w:after="0" w:line="2" w:lineRule="exact"/>
        <w:rPr>
          <w:sz w:val="20"/>
          <w:szCs w:val="20"/>
          <w:color w:val="auto"/>
        </w:rPr>
      </w:pPr>
    </w:p>
    <w:p>
      <w:pPr>
        <w:jc w:val="center"/>
        <w:ind w:left="4460" w:right="779" w:hanging="4168"/>
        <w:spacing w:after="0" w:line="511" w:lineRule="auto"/>
        <w:tabs>
          <w:tab w:leader="none" w:pos="5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terminated earlier at any time upon thirty (30) days’ prior written notice from one party to the other,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provided that for a period of five (5) years following the termination or expiration of the Mutual Nondisclosure Agreement, the parties will maintain the obligations of confidentiality of each other’s furnished confidential information, and not use and/or disclose such information to any third party, except as expressly authorized by the disclosing party or other applicable owner of the information in writing.</w:t>
      </w:r>
    </w:p>
    <w:p>
      <w:pPr>
        <w:spacing w:after="0" w:line="70" w:lineRule="exact"/>
        <w:rPr>
          <w:sz w:val="20"/>
          <w:szCs w:val="20"/>
          <w:color w:val="auto"/>
        </w:rPr>
      </w:pPr>
    </w:p>
    <w:p>
      <w:pPr>
        <w:ind w:left="300" w:right="419"/>
        <w:spacing w:after="0" w:line="267" w:lineRule="auto"/>
        <w:rPr>
          <w:sz w:val="20"/>
          <w:szCs w:val="20"/>
          <w:color w:val="auto"/>
        </w:rPr>
      </w:pPr>
      <w:r>
        <w:rPr>
          <w:rFonts w:ascii="Times New Roman" w:cs="Times New Roman" w:eastAsia="Times New Roman" w:hAnsi="Times New Roman"/>
          <w:sz w:val="18"/>
          <w:szCs w:val="18"/>
          <w:i w:val="1"/>
          <w:iCs w:val="1"/>
          <w:color w:val="auto"/>
        </w:rPr>
        <w:t>The foregoing summary and description of the Mutual Nondisclosure Agreement does not purport to be complete and is qualified in its entirety by reference to the full text of the agreement, a copy of which is filed as Exhibit (e)(2) to this Schedule 14D-9 and is incorporated herein by reference.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Binding Term Sheet</w:t>
      </w:r>
    </w:p>
    <w:p>
      <w:pPr>
        <w:spacing w:after="0" w:line="117"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On January 21, 2026, the Company entered into a binding term sheet (the “</w:t>
      </w:r>
      <w:r>
        <w:rPr>
          <w:rFonts w:ascii="Times New Roman" w:cs="Times New Roman" w:eastAsia="Times New Roman" w:hAnsi="Times New Roman"/>
          <w:sz w:val="18"/>
          <w:szCs w:val="18"/>
          <w:b w:val="1"/>
          <w:bCs w:val="1"/>
          <w:color w:val="auto"/>
        </w:rPr>
        <w:t>Term Sheet</w:t>
      </w:r>
      <w:r>
        <w:rPr>
          <w:rFonts w:ascii="Times New Roman" w:cs="Times New Roman" w:eastAsia="Times New Roman" w:hAnsi="Times New Roman"/>
          <w:sz w:val="18"/>
          <w:szCs w:val="18"/>
          <w:color w:val="auto"/>
        </w:rPr>
        <w:t>”) with Parent, pursuant to which Parent and the Company agreed to negotiate in good faith and enter into a customary purchase agreement to consummate a negotiated acquisition of the Company by Parent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whereby Parent will commence a tender offer to purchase, on a fully-diluted basis, all of the Common Shares at a price of $4.00 per Common Share in cash and complete a short-form merger with the Company under Section 251(h) of the Delaware General Corporation Law following the completion of the tender offer. As a result of the Merger, all Common Shares not tendered in the tender offer, other than Rollover Shares, would be exchanged for $4.00 per share in cash. In addition to the consideration of $4.00 per Common Share, each Common Share tendered in the tender offer or exchanged in the Merger will also be entitled to receive two (2) non-tradeable contingent value rights (CVRs), payable as follows: (1) $1.00 per Common Share within twelve (12) months of the date on which rights to certepetide in the Greater China region revert to the Company; and (2) $1.00 per Common Share upon filing of any New Drug Application or similar registration document for approval to commercialize certepetide in any indication in any jurisdiction.</w:t>
      </w:r>
    </w:p>
    <w:p>
      <w:pPr>
        <w:spacing w:after="0" w:line="83"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Board unanimously determined that the Term Sheet and the transactions contemplated therein, were advisable, fair to and in the best interests of the Company and its stockholders, and declared it advisable for the Company to enter into the Term Sheet and negotiate in good faith and enter into a Purchase Agreement for the consummation of the transactions contemplated therein.</w:t>
      </w:r>
    </w:p>
    <w:p>
      <w:pPr>
        <w:spacing w:after="0" w:line="72"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Pursuant to the Term Sheet, Parent may in its discretion, after consulting with the Company, discuss and agree with certain stockholders of the Company that Common Shares held by such Company stockholders will not be tendered in the tender offer or exchanged in the Merger and instead will be contributed to Parent in exchange for equity interests in Parent. For so long as the Term Sheet has not been terminated, the Company waived any standstill, confidentiality or other restrictions currently in effect that would otherwise prohibit Parent from entering into such discussions and agreements with the Company stockholders solely for the purpose of and to the extent necessary for Parent to engage in such discussions and entering into such agreements. Other than pursuant to the Purchase Agreement or as expressly contemplated by the Term Sheet, for twelve (12) months from the date hereof, Parent shall not directly or indirectly (x) acquire beneficial ownership (or the substantial equivalent) of any securities of the Company, (y) seek to or engage in a business combination, tender offer, change of control transaction, or proxy solicitation with respect to the Company, or (z) initiate any stockholder proposal or convene a stockholders’ meeting of or involving the Company, without, in any such cases, the prior written consent of the Board. The foregoing standstill shall be inoperative and of no force or effect if the Term Sheet is terminated, other than a termination by the Company due to Parent’s failure to enter into the Purchase Agreement on terms and conditions materially consistent with the Term Sheet by February 27, 2026 (other than any such failure as a result of a Permitted Exception (as defined below)).</w:t>
      </w:r>
    </w:p>
    <w:p>
      <w:pPr>
        <w:spacing w:after="0" w:line="87"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Parent represented that the tender offer and the Merger will not be conditioned on financing and has obtained funding commitments from third party investor(s) sufficient to cover all of its obligations under the Purchase Agreement, which commitments remain subject to completion of diligence and negotiation of definitive terms. Prior to execution of the Purchase Agreement, Parent agreed to provide bona fide funding commitments from third party investor(s) sufficient to cover all of its obligations under the Purchase Agreement.</w:t>
      </w:r>
    </w:p>
    <w:p>
      <w:pPr>
        <w:spacing w:after="0" w:line="75" w:lineRule="exact"/>
        <w:rPr>
          <w:sz w:val="20"/>
          <w:szCs w:val="20"/>
          <w:color w:val="auto"/>
        </w:rPr>
      </w:pPr>
    </w:p>
    <w:p>
      <w:pPr>
        <w:ind w:left="300" w:right="319"/>
        <w:spacing w:after="0" w:line="289" w:lineRule="auto"/>
        <w:rPr>
          <w:sz w:val="20"/>
          <w:szCs w:val="20"/>
          <w:color w:val="auto"/>
        </w:rPr>
      </w:pPr>
      <w:r>
        <w:rPr>
          <w:rFonts w:ascii="Times New Roman" w:cs="Times New Roman" w:eastAsia="Times New Roman" w:hAnsi="Times New Roman"/>
          <w:sz w:val="17"/>
          <w:szCs w:val="17"/>
          <w:color w:val="auto"/>
        </w:rPr>
        <w:t>The Term Sheet further provides that entry into the Purchase Agreement remains subject to negotiation of customary definitive agreements reasonably acceptable to each party on terms and conditions materially consistent with the Term Sheet. Under the Purchase Agreement, the tender offer and the Merger will be subject to customary closing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conditions for a transaction of this nature. Parent will be required to close on the tender offer so long as there shall be validly tendered a number of Common Shares that represents (and will represent immediately following the consummation of the tender offer) at least a majority of the aggregate voting power of all Common Shares then outstanding.</w:t>
      </w:r>
    </w:p>
    <w:p>
      <w:pPr>
        <w:spacing w:after="0" w:line="72"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Upon the execution of the Term Sheet, the Company agreed that until the earlier of (x) thirty (30) days from the date thereof and (y) entry into the Purchase Agreement (which Purchase Agreement will contain a customary no-shop covenant subject to a fiduciary out as described below) (the “</w:t>
      </w:r>
      <w:r>
        <w:rPr>
          <w:rFonts w:ascii="Times New Roman" w:cs="Times New Roman" w:eastAsia="Times New Roman" w:hAnsi="Times New Roman"/>
          <w:sz w:val="18"/>
          <w:szCs w:val="18"/>
          <w:b w:val="1"/>
          <w:bCs w:val="1"/>
          <w:color w:val="auto"/>
        </w:rPr>
        <w:t>Exclusivity Period</w:t>
      </w:r>
      <w:r>
        <w:rPr>
          <w:rFonts w:ascii="Times New Roman" w:cs="Times New Roman" w:eastAsia="Times New Roman" w:hAnsi="Times New Roman"/>
          <w:sz w:val="18"/>
          <w:szCs w:val="18"/>
          <w:color w:val="auto"/>
        </w:rPr>
        <w:t>”), it will not solicit, initiate, engage in or encourage the submission of any discussions, negotiations, proposals, or offers, with respect to a tender offer, merger, business combination, sale of shares, sale of its assets or any other transaction that would prevent or impede the completion of the transaction contemplated herein (a “</w:t>
      </w:r>
      <w:r>
        <w:rPr>
          <w:rFonts w:ascii="Times New Roman" w:cs="Times New Roman" w:eastAsia="Times New Roman" w:hAnsi="Times New Roman"/>
          <w:sz w:val="18"/>
          <w:szCs w:val="18"/>
          <w:b w:val="1"/>
          <w:bCs w:val="1"/>
          <w:color w:val="auto"/>
        </w:rPr>
        <w:t>Competing Transaction</w:t>
      </w:r>
      <w:r>
        <w:rPr>
          <w:rFonts w:ascii="Times New Roman" w:cs="Times New Roman" w:eastAsia="Times New Roman" w:hAnsi="Times New Roman"/>
          <w:sz w:val="18"/>
          <w:szCs w:val="18"/>
          <w:color w:val="auto"/>
        </w:rPr>
        <w:t>”). The Exclusivity Period may be extended upon mutual written agreement of the Company and Parent.</w:t>
      </w:r>
    </w:p>
    <w:p>
      <w:pPr>
        <w:spacing w:after="0" w:line="8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Notwithstanding the foregoing, if the Company received during the Exclusivity Period a bona fide, unsolicited written proposal for a Competing Transaction, and the Board determined in good faith after consultation with the Company’s outside legal counsel and financial advisors that such proposal is superior to the tender offer or would reasonably be expected to result in a proposal that is superior to the tender offer, and, in each case, that the failure to take such action would be reasonably likely to violate the directors’ fiduciary duties under applicable law, then the Company was permitted to furnish nonpublic information to the person making such proposal and its representatives and engage in discussions or negotiations with such person with respect to such proposal. The Company was required to promptly notify Parent of the receipt of any proposal for a Competing Transaction, or any inquiry or request for nonpublic information relating to the Company by any person who has made or would reasonably be expected to make a proposal for a Competing Transaction. The Company had the right to terminate the Purchase Agreement for a bona fide superior proposal prior to the closing of the tender offer, subject to payment of the Breakup Fee (as described below) to Parent. Parent had the right to match any superior proposal received by the Company from a third party before the board of directors of the Company may exercise its fiduciary out.</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parties agreed that:</w:t>
      </w:r>
    </w:p>
    <w:p>
      <w:pPr>
        <w:spacing w:after="0" w:line="117" w:lineRule="exact"/>
        <w:rPr>
          <w:sz w:val="20"/>
          <w:szCs w:val="20"/>
          <w:color w:val="auto"/>
        </w:rPr>
      </w:pPr>
    </w:p>
    <w:p>
      <w:pPr>
        <w:ind w:left="1000" w:right="299" w:hanging="348"/>
        <w:spacing w:after="0" w:line="254"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failed to enter into the Purchase Agreement on terms and conditions materially consistent with the Term Sheet by February 27, 2026, other than as a result of a Permitted Exception (as defined in the Term Sheet), and the Company confirmed in writing three (3) business days prior to such time that entry into the Purchase Agreement had been approved by its board of directors and it is prepared to enter into the Purchase Agreement on terms and conditions materially consistent with the Term Sheet and remained prepared to enter into the Purchase Agreement on terms and conditions materially consistent with the Term Sheet at such time, then Parent would pay the Company a breakup fee in the amount of $2,000,000 in cash (the “</w:t>
      </w:r>
      <w:r>
        <w:rPr>
          <w:rFonts w:ascii="Times New Roman" w:cs="Times New Roman" w:eastAsia="Times New Roman" w:hAnsi="Times New Roman"/>
          <w:sz w:val="18"/>
          <w:szCs w:val="18"/>
          <w:b w:val="1"/>
          <w:bCs w:val="1"/>
          <w:color w:val="auto"/>
        </w:rPr>
        <w:t>Breakup Fee</w:t>
      </w:r>
      <w:r>
        <w:rPr>
          <w:rFonts w:ascii="Times New Roman" w:cs="Times New Roman" w:eastAsia="Times New Roman" w:hAnsi="Times New Roman"/>
          <w:sz w:val="18"/>
          <w:szCs w:val="18"/>
          <w:color w:val="auto"/>
        </w:rPr>
        <w:t>”); and</w:t>
      </w:r>
    </w:p>
    <w:p>
      <w:pPr>
        <w:spacing w:after="0" w:line="83" w:lineRule="exact"/>
        <w:rPr>
          <w:rFonts w:ascii="Times New Roman" w:cs="Times New Roman" w:eastAsia="Times New Roman" w:hAnsi="Times New Roman"/>
          <w:sz w:val="18"/>
          <w:szCs w:val="18"/>
          <w:color w:val="auto"/>
        </w:rPr>
      </w:pPr>
    </w:p>
    <w:p>
      <w:pPr>
        <w:ind w:left="1000" w:right="299" w:hanging="348"/>
        <w:spacing w:after="0" w:line="25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failed to enter into the Purchase Agreement on terms and conditions materially consistent with the Term Sheet by February 27, 2026, other than as a result of a Permitted Exception, and Parent confirmed in writing three (3) business days prior to such time that it was prepared to enter into the Purchase Agreement on terms and conditions materially consistent with the Term Sheet and remained prepared to enter into the Purchase Agreement on terms and conditions materially consistent with the Term Sheet at such time, then the Company would pay Parent the Breakup Fee;</w:t>
      </w:r>
    </w:p>
    <w:p>
      <w:pPr>
        <w:spacing w:after="0" w:line="79" w:lineRule="exact"/>
        <w:rPr>
          <w:rFonts w:ascii="Times New Roman" w:cs="Times New Roman" w:eastAsia="Times New Roman" w:hAnsi="Times New Roman"/>
          <w:sz w:val="18"/>
          <w:szCs w:val="18"/>
          <w:color w:val="auto"/>
        </w:rPr>
      </w:pPr>
    </w:p>
    <w:p>
      <w:pPr>
        <w:ind w:left="1000" w:right="105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terminated the Term Sheet to enter into an agreement providing for a Competing Transaction, then the Company would pay Parent the Breakup Fee.</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the event that the parties entered into the Purchase Agreement and (i) the Purchase Agreement is terminated</w:t>
      </w:r>
    </w:p>
    <w:p>
      <w:pPr>
        <w:spacing w:after="0" w:line="27" w:lineRule="exact"/>
        <w:rPr>
          <w:sz w:val="20"/>
          <w:szCs w:val="20"/>
          <w:color w:val="auto"/>
        </w:rPr>
      </w:pPr>
    </w:p>
    <w:p>
      <w:pPr>
        <w:ind w:left="300" w:right="359" w:hanging="8"/>
        <w:spacing w:after="0" w:line="271" w:lineRule="auto"/>
        <w:tabs>
          <w:tab w:leader="none" w:pos="59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Company for a bona fide superior proposal, (B) by Parent due to a Company change of board recommendation or (C) by either party due to the failure of a condition to the Offer being satisfied and, at such time, either there had been a Company change of board recommendation, then the Company would pay to Parent the Breakup Fee or (ii) the Purchase Agreement was terminated due to Parent’s failure to complete the Offer and the Merger when the conditions have otherwise been satisfied, then Parent would pay the Company the Breakup Fee.</w:t>
      </w:r>
    </w:p>
    <w:p>
      <w:pPr>
        <w:spacing w:after="0" w:line="66"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The parties further agreed that from the time of entry into the Term Sheet until entry into the Purchase Agreement, the Company’s monthly spend would not exceed its average monthly spend for the 2025 fiscal year, excluding (i)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right="1420"/>
        <w:spacing w:after="0" w:line="276" w:lineRule="auto"/>
        <w:rPr>
          <w:sz w:val="20"/>
          <w:szCs w:val="20"/>
          <w:color w:val="auto"/>
        </w:rPr>
      </w:pPr>
      <w:r>
        <w:rPr>
          <w:rFonts w:ascii="Times New Roman" w:cs="Times New Roman" w:eastAsia="Times New Roman" w:hAnsi="Times New Roman"/>
          <w:sz w:val="17"/>
          <w:szCs w:val="17"/>
          <w:color w:val="auto"/>
        </w:rPr>
        <w:t>related to the Purchase Agreement and the Merger, (ii) any payments relating to D&amp;O insurance, (iii) any compensation or other employee payments payable pursuant to existing agreements and/or the Company’s policies,</w:t>
      </w:r>
    </w:p>
    <w:p>
      <w:pPr>
        <w:spacing w:after="0" w:line="1" w:lineRule="exact"/>
        <w:rPr>
          <w:sz w:val="20"/>
          <w:szCs w:val="20"/>
          <w:color w:val="auto"/>
        </w:rPr>
      </w:pPr>
    </w:p>
    <w:p>
      <w:pPr>
        <w:ind w:left="1300" w:right="1880" w:hanging="8"/>
        <w:spacing w:after="0" w:line="260" w:lineRule="auto"/>
        <w:tabs>
          <w:tab w:leader="none" w:pos="16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any unforeseen regulatory or legal compliance issues and (v) any payments related to existing clinical studies.</w:t>
      </w:r>
    </w:p>
    <w:p>
      <w:pPr>
        <w:spacing w:after="0" w:line="73" w:lineRule="exact"/>
        <w:rPr>
          <w:sz w:val="20"/>
          <w:szCs w:val="20"/>
          <w:color w:val="auto"/>
        </w:rPr>
      </w:pPr>
    </w:p>
    <w:p>
      <w:pPr>
        <w:jc w:val="both"/>
        <w:ind w:left="1300" w:right="1500"/>
        <w:spacing w:after="0" w:line="281" w:lineRule="auto"/>
        <w:rPr>
          <w:sz w:val="20"/>
          <w:szCs w:val="20"/>
          <w:color w:val="auto"/>
        </w:rPr>
      </w:pPr>
      <w:r>
        <w:rPr>
          <w:rFonts w:ascii="Times New Roman" w:cs="Times New Roman" w:eastAsia="Times New Roman" w:hAnsi="Times New Roman"/>
          <w:sz w:val="17"/>
          <w:szCs w:val="17"/>
          <w:color w:val="auto"/>
        </w:rPr>
        <w:t>The Company agreed that from the time of entry into the Term Sheet until entry into the Purchase Agreement, and from the entry into the Purchase Agreement until the closing of the transaction or the termination of the Purchase Agreement, the Company would not issue any equity securities (including Company Stock Options and Company RSUs), and would not enter into any change of control, transaction, retention or similar bonus arrangements.</w:t>
      </w:r>
    </w:p>
    <w:p>
      <w:pPr>
        <w:spacing w:after="0" w:line="56" w:lineRule="exact"/>
        <w:rPr>
          <w:sz w:val="20"/>
          <w:szCs w:val="20"/>
          <w:color w:val="auto"/>
        </w:rPr>
      </w:pPr>
    </w:p>
    <w:p>
      <w:pPr>
        <w:ind w:left="1300" w:right="1520"/>
        <w:spacing w:after="0" w:line="261" w:lineRule="auto"/>
        <w:rPr>
          <w:sz w:val="20"/>
          <w:szCs w:val="20"/>
          <w:color w:val="auto"/>
        </w:rPr>
      </w:pPr>
      <w:r>
        <w:rPr>
          <w:rFonts w:ascii="Times New Roman" w:cs="Times New Roman" w:eastAsia="Times New Roman" w:hAnsi="Times New Roman"/>
          <w:sz w:val="18"/>
          <w:szCs w:val="18"/>
          <w:color w:val="auto"/>
        </w:rPr>
        <w:t>Except as expressly provided in the Purchase Agreement (if agreed and executed), or otherwise agreed to by the parties in writing, each party would bear its own costs, fees and expenses in connection with the transactions contemplated by the Purchase Agreement, due diligence, and all other costs, fees and expenses in connection with the transactions and activities contemplated by the Term Sheet.</w:t>
      </w:r>
    </w:p>
    <w:p>
      <w:pPr>
        <w:spacing w:after="0" w:line="72" w:lineRule="exact"/>
        <w:rPr>
          <w:sz w:val="20"/>
          <w:szCs w:val="20"/>
          <w:color w:val="auto"/>
        </w:rPr>
      </w:pPr>
    </w:p>
    <w:p>
      <w:pPr>
        <w:ind w:left="1300" w:right="1460"/>
        <w:spacing w:after="0" w:line="256" w:lineRule="auto"/>
        <w:rPr>
          <w:sz w:val="20"/>
          <w:szCs w:val="20"/>
          <w:color w:val="auto"/>
        </w:rPr>
      </w:pPr>
      <w:r>
        <w:rPr>
          <w:rFonts w:ascii="Times New Roman" w:cs="Times New Roman" w:eastAsia="Times New Roman" w:hAnsi="Times New Roman"/>
          <w:sz w:val="18"/>
          <w:szCs w:val="18"/>
          <w:color w:val="auto"/>
        </w:rPr>
        <w:t>The Term Sheet would have expired on February 28, 2026 unless extended by mutual written agreement of the Company and Parent. The Company may terminate the Term Sheet at any time in order to enter into a binding agreement providing for a Competing Transaction, provided that (i) the Company has provided Parent five (5) business days advance notice of its intention terminate the Term Sheet, (ii) concurrently with such termination, the Company pays Parent the Breakup Fee and (iii) concurrently with the termination of the Term Sheet, the Company enters into a binding agreement providing for a Competing Transaction.</w:t>
      </w:r>
    </w:p>
    <w:p>
      <w:pPr>
        <w:spacing w:after="0" w:line="120" w:lineRule="exact"/>
        <w:rPr>
          <w:sz w:val="20"/>
          <w:szCs w:val="20"/>
          <w:color w:val="auto"/>
        </w:rPr>
      </w:pPr>
    </w:p>
    <w:p>
      <w:pPr>
        <w:ind w:left="1300" w:right="1480"/>
        <w:spacing w:after="0" w:line="282" w:lineRule="auto"/>
        <w:rPr>
          <w:sz w:val="20"/>
          <w:szCs w:val="20"/>
          <w:color w:val="auto"/>
        </w:rPr>
      </w:pPr>
      <w:r>
        <w:rPr>
          <w:rFonts w:ascii="Times New Roman" w:cs="Times New Roman" w:eastAsia="Times New Roman" w:hAnsi="Times New Roman"/>
          <w:sz w:val="18"/>
          <w:szCs w:val="18"/>
          <w:color w:val="auto"/>
        </w:rPr>
        <w:t>On February 27, 2026, the Company and Parent amended the Term Sheet to extend the expiration date to March 7, 2026.</w:t>
      </w:r>
    </w:p>
    <w:p>
      <w:pPr>
        <w:spacing w:after="0" w:line="52" w:lineRule="exact"/>
        <w:rPr>
          <w:sz w:val="20"/>
          <w:szCs w:val="20"/>
          <w:color w:val="auto"/>
        </w:rPr>
      </w:pPr>
    </w:p>
    <w:p>
      <w:pPr>
        <w:ind w:left="1300" w:right="1340"/>
        <w:spacing w:after="0" w:line="267" w:lineRule="auto"/>
        <w:rPr>
          <w:sz w:val="20"/>
          <w:szCs w:val="20"/>
          <w:color w:val="auto"/>
        </w:rPr>
      </w:pPr>
      <w:r>
        <w:rPr>
          <w:rFonts w:ascii="Times New Roman" w:cs="Times New Roman" w:eastAsia="Times New Roman" w:hAnsi="Times New Roman"/>
          <w:sz w:val="18"/>
          <w:szCs w:val="18"/>
          <w:i w:val="1"/>
          <w:iCs w:val="1"/>
          <w:color w:val="auto"/>
        </w:rPr>
        <w:t>The foregoing summary of the Term Sheet does not purport to be complete and is qualified in its entirety by the more detailed description and explanation contained in the Offer to Purchase and the Term Sheet, the form of which is filed as Exhibit (e)(3) and (e)(4) and incorporated herein by reference.</w:t>
      </w: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Standstill Agreement</w:t>
      </w:r>
    </w:p>
    <w:p>
      <w:pPr>
        <w:spacing w:after="0" w:line="121" w:lineRule="exact"/>
        <w:rPr>
          <w:sz w:val="20"/>
          <w:szCs w:val="20"/>
          <w:color w:val="auto"/>
        </w:rPr>
      </w:pPr>
    </w:p>
    <w:p>
      <w:pPr>
        <w:ind w:left="1300" w:right="1360"/>
        <w:spacing w:after="0" w:line="281" w:lineRule="auto"/>
        <w:rPr>
          <w:sz w:val="20"/>
          <w:szCs w:val="20"/>
          <w:color w:val="auto"/>
        </w:rPr>
      </w:pPr>
      <w:r>
        <w:rPr>
          <w:rFonts w:ascii="Times New Roman" w:cs="Times New Roman" w:eastAsia="Times New Roman" w:hAnsi="Times New Roman"/>
          <w:sz w:val="17"/>
          <w:szCs w:val="17"/>
          <w:color w:val="auto"/>
        </w:rPr>
        <w:t>The Company and Parent entered into a Standstill Agreement, dated as of April 25, 2025, which contained, among other things, certain “standstill” provisions prohibiting Parent and certain of its affiliates from taking certain actions, including among other things, to solicit an alternative transaction, with respect to the Company and its securities for a period of one (1) year. The “standstill” provisions expired upon the Company’s entry into the Merger Agreement.</w:t>
      </w:r>
    </w:p>
    <w:p>
      <w:pPr>
        <w:spacing w:after="0" w:line="54" w:lineRule="exact"/>
        <w:rPr>
          <w:sz w:val="20"/>
          <w:szCs w:val="20"/>
          <w:color w:val="auto"/>
        </w:rPr>
      </w:pPr>
    </w:p>
    <w:p>
      <w:pPr>
        <w:ind w:left="1300" w:right="1320"/>
        <w:spacing w:after="0" w:line="267" w:lineRule="auto"/>
        <w:rPr>
          <w:sz w:val="20"/>
          <w:szCs w:val="20"/>
          <w:color w:val="auto"/>
        </w:rPr>
      </w:pPr>
      <w:r>
        <w:rPr>
          <w:rFonts w:ascii="Times New Roman" w:cs="Times New Roman" w:eastAsia="Times New Roman" w:hAnsi="Times New Roman"/>
          <w:sz w:val="18"/>
          <w:szCs w:val="18"/>
          <w:i w:val="1"/>
          <w:iCs w:val="1"/>
          <w:color w:val="auto"/>
        </w:rPr>
        <w:t>The foregoing summary of the Standstill Agreement does not purport to be complete and is qualified in its entirety by reference to the full text of the Standstill Agreement, which is filed as Exhibit (e)(5) to this Schedule 14D-9 and incorporated herein by reference.</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Arrangements Between the Company and its Executive Officers, Directors and Affiliates</w:t>
      </w:r>
    </w:p>
    <w:p>
      <w:pPr>
        <w:spacing w:after="0" w:line="121" w:lineRule="exact"/>
        <w:rPr>
          <w:sz w:val="20"/>
          <w:szCs w:val="20"/>
          <w:color w:val="auto"/>
        </w:rPr>
      </w:pPr>
    </w:p>
    <w:p>
      <w:pPr>
        <w:ind w:left="1300" w:right="1300"/>
        <w:spacing w:after="0" w:line="254" w:lineRule="auto"/>
        <w:rPr>
          <w:sz w:val="20"/>
          <w:szCs w:val="20"/>
          <w:color w:val="auto"/>
        </w:rPr>
      </w:pPr>
      <w:r>
        <w:rPr>
          <w:rFonts w:ascii="Times New Roman" w:cs="Times New Roman" w:eastAsia="Times New Roman" w:hAnsi="Times New Roman"/>
          <w:sz w:val="18"/>
          <w:szCs w:val="18"/>
          <w:color w:val="auto"/>
        </w:rPr>
        <w:t>In considering the recommendation of the Board to holders of Common Shares to tender Common Shares in the Offer, stockholders should be aware that the Company’s executive officers, members of the Board and affiliates may be considered to have interests in the execution and delivery of the Merger Agreement and all of the Transactions, including the Offer and the Merger, that may be different from or in addition to those of the Company’s stockholders generally. The Board was aware of these interests and considered them, among other matters, in reaching its decision to approve the Merger Agreement and the Transactions, as more fully discussed below in “</w:t>
      </w:r>
      <w:r>
        <w:rPr>
          <w:rFonts w:ascii="Times New Roman" w:cs="Times New Roman" w:eastAsia="Times New Roman" w:hAnsi="Times New Roman"/>
          <w:sz w:val="18"/>
          <w:szCs w:val="18"/>
          <w:i w:val="1"/>
          <w:iCs w:val="1"/>
          <w:color w:val="auto"/>
        </w:rPr>
        <w:t>Item 4. The Solicitation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Recommendation-Recommendation of the Board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“Item 4. The Solicitation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Recommendation-Reasons for the Recommendation</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Company’s executive officers and directors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130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David J. Mazzo, Ph.D.</w:t>
            </w:r>
          </w:p>
        </w:tc>
        <w:tc>
          <w:tcPr>
            <w:tcW w:w="20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Class II Director</w:t>
            </w:r>
          </w:p>
        </w:tc>
        <w:tc>
          <w:tcPr>
            <w:tcW w:w="1300" w:type="dxa"/>
            <w:vAlign w:val="bottom"/>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Kristen K. Buck, M.D.</w:t>
            </w:r>
          </w:p>
        </w:tc>
        <w:tc>
          <w:tcPr>
            <w:tcW w:w="20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R&amp;D and Chief Medical Officer</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James Nisco</w:t>
            </w:r>
          </w:p>
        </w:tc>
        <w:tc>
          <w:tcPr>
            <w:tcW w:w="20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and Treasury and Chief Accounting Officer</w:t>
            </w:r>
          </w:p>
        </w:tc>
        <w:tc>
          <w:tcPr>
            <w:tcW w:w="1300" w:type="dxa"/>
            <w:vAlign w:val="bottom"/>
          </w:tcPr>
          <w:p>
            <w:pPr>
              <w:spacing w:after="0"/>
              <w:rPr>
                <w:sz w:val="21"/>
                <w:szCs w:val="21"/>
                <w:color w:val="auto"/>
              </w:rPr>
            </w:pPr>
          </w:p>
        </w:tc>
      </w:tr>
      <w:tr>
        <w:trPr>
          <w:trHeight w:val="225"/>
        </w:trPr>
        <w:tc>
          <w:tcPr>
            <w:tcW w:w="130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Tariq Imam</w:t>
            </w:r>
          </w:p>
        </w:tc>
        <w:tc>
          <w:tcPr>
            <w:tcW w:w="2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Business Development and Operations and General</w:t>
            </w:r>
          </w:p>
        </w:tc>
        <w:tc>
          <w:tcPr>
            <w:tcW w:w="1300" w:type="dxa"/>
            <w:vAlign w:val="bottom"/>
          </w:tcPr>
          <w:p>
            <w:pPr>
              <w:spacing w:after="0"/>
              <w:rPr>
                <w:sz w:val="19"/>
                <w:szCs w:val="19"/>
                <w:color w:val="auto"/>
              </w:rPr>
            </w:pPr>
          </w:p>
        </w:tc>
      </w:tr>
      <w:tr>
        <w:trPr>
          <w:trHeight w:val="234"/>
        </w:trPr>
        <w:tc>
          <w:tcPr>
            <w:tcW w:w="13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Counsel</w:t>
            </w:r>
          </w:p>
        </w:tc>
        <w:tc>
          <w:tcPr>
            <w:tcW w:w="1300" w:type="dxa"/>
            <w:vAlign w:val="bottom"/>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Gregory B. Brown, M.D.</w:t>
            </w:r>
          </w:p>
        </w:tc>
        <w:tc>
          <w:tcPr>
            <w:tcW w:w="20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Class II Director; Chairman of Board of Directors</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Steven M. Klosk</w:t>
            </w:r>
          </w:p>
        </w:tc>
        <w:tc>
          <w:tcPr>
            <w:tcW w:w="20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Class III Director</w:t>
            </w:r>
          </w:p>
        </w:tc>
        <w:tc>
          <w:tcPr>
            <w:tcW w:w="1300" w:type="dxa"/>
            <w:vAlign w:val="bottom"/>
          </w:tcPr>
          <w:p>
            <w:pPr>
              <w:spacing w:after="0"/>
              <w:rPr>
                <w:sz w:val="21"/>
                <w:szCs w:val="21"/>
                <w:color w:val="auto"/>
              </w:rPr>
            </w:pPr>
          </w:p>
        </w:tc>
      </w:tr>
      <w:tr>
        <w:trPr>
          <w:trHeight w:val="486"/>
        </w:trPr>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180" w:type="dxa"/>
            <w:vAlign w:val="bottom"/>
            <w:gridSpan w:val="2"/>
          </w:tcPr>
          <w:p>
            <w:pPr>
              <w:jc w:val="right"/>
              <w:ind w:right="4032"/>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9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3" w:name="page14"/>
    <w:bookmarkEnd w:id="13"/>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980" w:type="dxa"/>
            <w:vAlign w:val="bottom"/>
          </w:tcPr>
          <w:p>
            <w:pPr>
              <w:spacing w:after="0"/>
              <w:rPr>
                <w:sz w:val="13"/>
                <w:szCs w:val="13"/>
                <w:color w:val="auto"/>
              </w:rPr>
            </w:pPr>
          </w:p>
        </w:tc>
      </w:tr>
      <w:tr>
        <w:trPr>
          <w:trHeight w:val="402"/>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1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r>
      <w:tr>
        <w:trPr>
          <w:trHeight w:val="237"/>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Cynthia L. Flowers, M.B.A.</w:t>
            </w:r>
          </w:p>
        </w:tc>
        <w:tc>
          <w:tcPr>
            <w:tcW w:w="20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43"/>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Heidi Henson</w:t>
            </w:r>
          </w:p>
        </w:tc>
        <w:tc>
          <w:tcPr>
            <w:tcW w:w="20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43"/>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Mohammad Azab, MD, MBA</w:t>
            </w:r>
          </w:p>
        </w:tc>
        <w:tc>
          <w:tcPr>
            <w:tcW w:w="20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Class III Director</w:t>
            </w:r>
          </w:p>
        </w:tc>
      </w:tr>
    </w:tbl>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Effect of the Offer and the Merger on Company Equity Awards</w:t>
      </w:r>
    </w:p>
    <w:p>
      <w:pPr>
        <w:spacing w:after="0" w:line="12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The Company’s non-employee directors hold Company Stock Options and Company RSUs. The executive officers of the Company hold Company Stock Options and shares of Company Restricted Stock. At the Effective Time, all Company equity awards, including awards held by our non-employee directors and executive officers, that are outstanding immediately prior to the Effective Time will generally be subject to the following treatment:</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Treatment of Company Stock Options</w:t>
      </w:r>
    </w:p>
    <w:p>
      <w:pPr>
        <w:spacing w:after="0" w:line="11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each In-The-Money Company Stock Option (or portion thereof) that is outstanding immediately prior to the Effective Time will, to the extent not vested, automatically become fully vested and will be cancelled at the Effective Time, and the holder of such cancelled In-The-Money Company Stock Option will be entitled to receive (without interest) (i) an amount in cash (less applicable tax withholdings) equal to the product of (x) the total number of Common Shares subject to such In-The-Money Company Stock Option immediately prior to the Effective Time multiplied by (y) the excess of the Closing Amount over the applicable exercise price per Common Share under such In-The-Money Company Stock Option (the “</w:t>
      </w:r>
      <w:r>
        <w:rPr>
          <w:rFonts w:ascii="Times New Roman" w:cs="Times New Roman" w:eastAsia="Times New Roman" w:hAnsi="Times New Roman"/>
          <w:sz w:val="18"/>
          <w:szCs w:val="18"/>
          <w:b w:val="1"/>
          <w:bCs w:val="1"/>
          <w:color w:val="auto"/>
        </w:rPr>
        <w:t>Closing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and (ii) one (1) CVR for each Common Share subject to such In-The-Money Company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immediately prior to the Effective Time, which shall be payable in accordance with the CVR Agreement; provided that, no payments in respect of such CVR will be paid after the later of (x) the fifth (5th) anniversary of the Effective Time and (y) the latest time that payment of such amounts would not result in a tax on the holder thereof under Section 409A of the Code.</w:t>
      </w:r>
    </w:p>
    <w:p>
      <w:pPr>
        <w:spacing w:after="0" w:line="82"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Each Out-Of-The-Money Company Stock Option (or portion thereof) that is outstanding immediately prior to the Effective Time shall become fully vested and to the extent not exercised prior to the Effective Time will be cancelled without any consideration being payable in respect thereof.</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Treatment of Company RSUs</w:t>
      </w:r>
    </w:p>
    <w:p>
      <w:pPr>
        <w:spacing w:after="0" w:line="119"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each Company RSU (or portion thereof) that is outstanding immediately prior to the Effective Time will, to the extent not vested, automatically become fully vested and will be cancelled at the Effective Time, and the holder of such cancelled Company RSU will be entitled to receive (without interest) (i) an amount in cash (less applicable tax withholdings) equal to (x) the total number of Common Shares subject to (or deliverable under) such Company RSU immediately prior to the Effective Time multiplied by (y) the Closing Amount (the “</w:t>
      </w:r>
      <w:r>
        <w:rPr>
          <w:rFonts w:ascii="Times New Roman" w:cs="Times New Roman" w:eastAsia="Times New Roman" w:hAnsi="Times New Roman"/>
          <w:sz w:val="18"/>
          <w:szCs w:val="18"/>
          <w:b w:val="1"/>
          <w:bCs w:val="1"/>
          <w:color w:val="auto"/>
        </w:rPr>
        <w:t>Closing RSU Consideration</w:t>
      </w:r>
      <w:r>
        <w:rPr>
          <w:rFonts w:ascii="Times New Roman" w:cs="Times New Roman" w:eastAsia="Times New Roman" w:hAnsi="Times New Roman"/>
          <w:sz w:val="18"/>
          <w:szCs w:val="18"/>
          <w:color w:val="auto"/>
        </w:rPr>
        <w:t>”) and (ii) one (1) CVR for each Common Share subject to such Company RSU immediately prior to the Effective Time, which will be payable in accordance with the CVR Agreement; provided that, no payments in respect of such CVR will be paid after the later of (x) the fifth (5th) anniversary of the Effective Time and (y) the latest time that payment of such amounts would not result in a tax on the holder thereof under Section 409A of the Code.</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Treatment of Company Restricted Stock Awards</w:t>
      </w:r>
    </w:p>
    <w:p>
      <w:pPr>
        <w:spacing w:after="0" w:line="11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each share of Company Restricted Stock that is outstanding immediately prior to the Effective Time will, to the extent not vested, automatically become fully vested and will be cancelled at the Effective Time, and the holder of such cancelled share of Company Restricted Stock will thereafter be entitled to receive (without interest), in exchange therefor, in consideration of the cancellation of such share of Company Restricted Stock, (i) an amount in cash (less applicable tax withholdings) equal to the Closing Amount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Restricted Stock Consideration</w:t>
      </w:r>
      <w:r>
        <w:rPr>
          <w:rFonts w:ascii="Times New Roman" w:cs="Times New Roman" w:eastAsia="Times New Roman" w:hAnsi="Times New Roman"/>
          <w:sz w:val="18"/>
          <w:szCs w:val="18"/>
          <w:color w:val="auto"/>
        </w:rPr>
        <w:t>”), and (ii) one (1) CVR, which shall be payable in accordance with the CVR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provided that, no payments in respect of such CVR will be paid after the later of (x) the fifth (5th) anniversary of the Effective Time and (y) the latest time that payment of such amounts would not result in a tax on the holder thereof under Section 409A of the Code.</w:t>
      </w:r>
    </w:p>
    <w:p>
      <w:pPr>
        <w:spacing w:after="0" w:line="186" w:lineRule="exact"/>
        <w:rPr>
          <w:sz w:val="20"/>
          <w:szCs w:val="20"/>
          <w:color w:val="auto"/>
        </w:rPr>
      </w:pPr>
    </w:p>
    <w:p>
      <w:pPr>
        <w:ind w:left="300" w:right="739"/>
        <w:spacing w:after="0" w:line="284" w:lineRule="auto"/>
        <w:rPr>
          <w:sz w:val="20"/>
          <w:szCs w:val="20"/>
          <w:color w:val="auto"/>
        </w:rPr>
      </w:pPr>
      <w:r>
        <w:rPr>
          <w:rFonts w:ascii="Times New Roman" w:cs="Times New Roman" w:eastAsia="Times New Roman" w:hAnsi="Times New Roman"/>
          <w:sz w:val="18"/>
          <w:szCs w:val="18"/>
          <w:i w:val="1"/>
          <w:iCs w:val="1"/>
          <w:color w:val="auto"/>
        </w:rPr>
        <w:t>Consideration Payable for Outstanding In-The-Money Company Stock Options, Company RSUs and Company Restricted Stock held by Directors and Executive Officers</w:t>
      </w:r>
    </w:p>
    <w:p>
      <w:pPr>
        <w:spacing w:after="0" w:line="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identifies, for each of the Company’s executive officers and directors, (i) (a) the number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Shares subject to such individual’s In-The-Money Company Stock Options that are outstanding as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8, 2026, and (b) the approximate aggregate Closing Option Consideration that would be payable with respect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540" w:right="640"/>
        <w:spacing w:after="0" w:line="254" w:lineRule="auto"/>
        <w:rPr>
          <w:sz w:val="20"/>
          <w:szCs w:val="20"/>
          <w:color w:val="auto"/>
        </w:rPr>
      </w:pPr>
      <w:r>
        <w:rPr>
          <w:rFonts w:ascii="Times New Roman" w:cs="Times New Roman" w:eastAsia="Times New Roman" w:hAnsi="Times New Roman"/>
          <w:sz w:val="18"/>
          <w:szCs w:val="18"/>
          <w:color w:val="auto"/>
        </w:rPr>
        <w:t>such In-The-Money Company Stock Options, (ii) the number of Common Shares subject to such individual’s Out-Of-The-Money Company Stock Options that are outstanding as of June 8, 2026, (iii) (a) the number of Common Shares subject to such individual’s Company RSUs that are outstanding as of June 8, 2026 and (b) the approximate aggregate Closing RSU Consideration that would be payable with respect to such Company RSUs, (iv) (a) the number of shares of Company Restricted Stock that are outstanding as of June 8, 2026 and (b) the approximate aggregate Closing Restricted Stock Consideration that would be payable with respect to such Company Restricted Stock, and (v) the maximum aggregate contingent consideration that each such individual would be entitled to receive in respect of the Common Shares underlying their In-The-Money Company Stock Options, Company RSUs and Company Restricted Stock for the CVRs if the Milestones are achieved.</w:t>
      </w:r>
    </w:p>
    <w:p>
      <w:pPr>
        <w:spacing w:after="0" w:line="80" w:lineRule="exact"/>
        <w:rPr>
          <w:sz w:val="20"/>
          <w:szCs w:val="20"/>
          <w:color w:val="auto"/>
        </w:rPr>
      </w:pPr>
    </w:p>
    <w:p>
      <w:pPr>
        <w:ind w:left="540" w:right="640"/>
        <w:spacing w:after="0" w:line="258" w:lineRule="auto"/>
        <w:rPr>
          <w:sz w:val="20"/>
          <w:szCs w:val="20"/>
          <w:color w:val="auto"/>
        </w:rPr>
      </w:pPr>
      <w:r>
        <w:rPr>
          <w:rFonts w:ascii="Times New Roman" w:cs="Times New Roman" w:eastAsia="Times New Roman" w:hAnsi="Times New Roman"/>
          <w:sz w:val="18"/>
          <w:szCs w:val="18"/>
          <w:color w:val="auto"/>
        </w:rPr>
        <w:t>The following table assumes that no In-The-Money Company Stock Option will be exercised between June 8, 2026 and the closing of the Merger. Any differences in the totals shown below relative to the component amounts are due to rounding adjustments. Each Out-Of-The-Money Company Stock Option held by the Company’s executive officers and directors that remains outstanding and unexercised as of the Effective Time will be cancelled as of the Effective Time for no consideration.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8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Closing</w:t>
            </w:r>
          </w:p>
        </w:tc>
        <w:tc>
          <w:tcPr>
            <w:tcW w:w="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Closing</w:t>
            </w:r>
          </w:p>
        </w:tc>
        <w:tc>
          <w:tcPr>
            <w:tcW w:w="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8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Subject</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8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Consideration</w:t>
            </w:r>
          </w:p>
        </w:tc>
        <w:tc>
          <w:tcPr>
            <w:tcW w:w="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Consideration</w:t>
            </w:r>
          </w:p>
        </w:tc>
        <w:tc>
          <w:tcPr>
            <w:tcW w:w="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Closing</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center"/>
              <w:ind w:right="1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w:t>
            </w:r>
          </w:p>
        </w:tc>
        <w:tc>
          <w:tcPr>
            <w:tcW w:w="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w:t>
            </w:r>
          </w:p>
        </w:tc>
        <w:tc>
          <w:tcPr>
            <w:tcW w:w="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Out-</w:t>
            </w:r>
          </w:p>
        </w:tc>
        <w:tc>
          <w:tcPr>
            <w:tcW w:w="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Closing</w:t>
            </w:r>
          </w:p>
        </w:tc>
        <w:tc>
          <w:tcPr>
            <w:tcW w:w="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Closing</w:t>
            </w:r>
          </w:p>
        </w:tc>
        <w:tc>
          <w:tcPr>
            <w:tcW w:w="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Restricted</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8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Unvested</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Unvested</w:t>
            </w:r>
          </w:p>
        </w:tc>
        <w:tc>
          <w:tcPr>
            <w:tcW w:w="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w:t>
            </w:r>
          </w:p>
        </w:tc>
        <w:tc>
          <w:tcPr>
            <w:tcW w:w="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RSU</w:t>
            </w:r>
          </w:p>
        </w:tc>
        <w:tc>
          <w:tcPr>
            <w:tcW w:w="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RSU</w:t>
            </w:r>
          </w:p>
        </w:tc>
        <w:tc>
          <w:tcPr>
            <w:tcW w:w="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In-The-</w:t>
            </w:r>
          </w:p>
        </w:tc>
        <w:tc>
          <w:tcPr>
            <w:tcW w:w="8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In-The-</w:t>
            </w:r>
          </w:p>
        </w:tc>
        <w:tc>
          <w:tcPr>
            <w:tcW w:w="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In-The-</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In-The-</w:t>
            </w:r>
          </w:p>
        </w:tc>
        <w:tc>
          <w:tcPr>
            <w:tcW w:w="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The-</w:t>
            </w:r>
          </w:p>
        </w:tc>
        <w:tc>
          <w:tcPr>
            <w:tcW w:w="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Consideration</w:t>
            </w:r>
          </w:p>
        </w:tc>
        <w:tc>
          <w:tcPr>
            <w:tcW w:w="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Consideration</w:t>
            </w:r>
          </w:p>
        </w:tc>
        <w:tc>
          <w:tcPr>
            <w:tcW w:w="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Consideration</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Money</w:t>
            </w:r>
          </w:p>
        </w:tc>
        <w:tc>
          <w:tcPr>
            <w:tcW w:w="8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Money</w:t>
            </w:r>
          </w:p>
        </w:tc>
        <w:tc>
          <w:tcPr>
            <w:tcW w:w="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Money</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Money</w:t>
            </w:r>
          </w:p>
        </w:tc>
        <w:tc>
          <w:tcPr>
            <w:tcW w:w="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Money</w:t>
            </w:r>
          </w:p>
        </w:tc>
        <w:tc>
          <w:tcPr>
            <w:tcW w:w="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for</w:t>
            </w:r>
          </w:p>
        </w:tc>
        <w:tc>
          <w:tcPr>
            <w:tcW w:w="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w:t>
            </w:r>
          </w:p>
        </w:tc>
        <w:tc>
          <w:tcPr>
            <w:tcW w:w="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r>
      <w:tr>
        <w:trPr>
          <w:trHeight w:val="135"/>
        </w:trPr>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Company</w:t>
            </w:r>
          </w:p>
        </w:tc>
        <w:tc>
          <w:tcPr>
            <w:tcW w:w="8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Company</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Company</w:t>
            </w:r>
          </w:p>
        </w:tc>
        <w:tc>
          <w:tcPr>
            <w:tcW w:w="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Unvested</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Unvested</w:t>
            </w:r>
          </w:p>
        </w:tc>
        <w:tc>
          <w:tcPr>
            <w:tcW w:w="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r>
      <w:tr>
        <w:trPr>
          <w:trHeight w:val="135"/>
        </w:trPr>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Company</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Company</w:t>
            </w:r>
          </w:p>
        </w:tc>
        <w:tc>
          <w:tcPr>
            <w:tcW w:w="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Company</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Restricted</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Restricted</w:t>
            </w: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Contingent</w:t>
            </w:r>
          </w:p>
        </w:tc>
      </w:tr>
      <w:tr>
        <w:trPr>
          <w:trHeight w:val="129"/>
        </w:trPr>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8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2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2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RSUs</w:t>
            </w:r>
          </w:p>
        </w:tc>
        <w:tc>
          <w:tcPr>
            <w:tcW w:w="2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RSUs</w:t>
            </w:r>
          </w:p>
        </w:tc>
        <w:tc>
          <w:tcPr>
            <w:tcW w:w="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RSUs</w:t>
            </w:r>
          </w:p>
        </w:tc>
        <w:tc>
          <w:tcPr>
            <w:tcW w:w="2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RSUs</w:t>
            </w:r>
          </w:p>
        </w:tc>
        <w:tc>
          <w:tcPr>
            <w:tcW w:w="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Consideration</w:t>
            </w:r>
          </w:p>
        </w:tc>
      </w:tr>
      <w:tr>
        <w:trPr>
          <w:trHeight w:val="202"/>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40" w:type="dxa"/>
            <w:vAlign w:val="bottom"/>
            <w:gridSpan w:val="3"/>
          </w:tcPr>
          <w:p>
            <w:pPr>
              <w:jc w:val="center"/>
              <w:ind w:left="19"/>
              <w:spacing w:after="0" w:line="202" w:lineRule="exact"/>
              <w:rPr>
                <w:sz w:val="20"/>
                <w:szCs w:val="20"/>
                <w:color w:val="auto"/>
              </w:rPr>
            </w:pPr>
            <w:r>
              <w:rPr>
                <w:rFonts w:ascii="Times New Roman" w:cs="Times New Roman" w:eastAsia="Times New Roman" w:hAnsi="Times New Roman"/>
                <w:sz w:val="23"/>
                <w:szCs w:val="23"/>
                <w:b w:val="1"/>
                <w:bCs w:val="1"/>
                <w:color w:val="auto"/>
                <w:w w:val="94"/>
                <w:vertAlign w:val="subscript"/>
              </w:rPr>
              <w:t>($)</w:t>
            </w:r>
            <w:r>
              <w:rPr>
                <w:rFonts w:ascii="Times New Roman" w:cs="Times New Roman" w:eastAsia="Times New Roman" w:hAnsi="Times New Roman"/>
                <w:sz w:val="10"/>
                <w:szCs w:val="10"/>
                <w:b w:val="1"/>
                <w:bCs w:val="1"/>
                <w:color w:val="auto"/>
                <w:w w:val="94"/>
              </w:rPr>
              <w:t>(1)</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w w:val="87"/>
                <w:vertAlign w:val="subscript"/>
              </w:rPr>
              <w:t>($)</w:t>
            </w:r>
            <w:r>
              <w:rPr>
                <w:rFonts w:ascii="Times New Roman" w:cs="Times New Roman" w:eastAsia="Times New Roman" w:hAnsi="Times New Roman"/>
                <w:sz w:val="10"/>
                <w:szCs w:val="10"/>
                <w:b w:val="1"/>
                <w:bCs w:val="1"/>
                <w:color w:val="auto"/>
                <w:w w:val="87"/>
              </w:rPr>
              <w:t>(1)</w:t>
            </w:r>
          </w:p>
        </w:tc>
        <w:tc>
          <w:tcPr>
            <w:tcW w:w="54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w w:val="94"/>
                <w:vertAlign w:val="subscript"/>
              </w:rPr>
              <w:t>(#)</w:t>
            </w:r>
            <w:r>
              <w:rPr>
                <w:rFonts w:ascii="Times New Roman" w:cs="Times New Roman" w:eastAsia="Times New Roman" w:hAnsi="Times New Roman"/>
                <w:sz w:val="10"/>
                <w:szCs w:val="10"/>
                <w:b w:val="1"/>
                <w:bCs w:val="1"/>
                <w:color w:val="auto"/>
                <w:w w:val="94"/>
              </w:rPr>
              <w:t>(1)</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w w:val="87"/>
                <w:vertAlign w:val="subscript"/>
              </w:rPr>
              <w:t>($)</w:t>
            </w:r>
            <w:r>
              <w:rPr>
                <w:rFonts w:ascii="Times New Roman" w:cs="Times New Roman" w:eastAsia="Times New Roman" w:hAnsi="Times New Roman"/>
                <w:sz w:val="10"/>
                <w:szCs w:val="10"/>
                <w:b w:val="1"/>
                <w:bCs w:val="1"/>
                <w:color w:val="auto"/>
                <w:w w:val="87"/>
              </w:rPr>
              <w:t>(2)</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w w:val="87"/>
                <w:vertAlign w:val="subscript"/>
              </w:rPr>
              <w:t>($)</w:t>
            </w:r>
            <w:r>
              <w:rPr>
                <w:rFonts w:ascii="Times New Roman" w:cs="Times New Roman" w:eastAsia="Times New Roman" w:hAnsi="Times New Roman"/>
                <w:sz w:val="10"/>
                <w:szCs w:val="10"/>
                <w:b w:val="1"/>
                <w:bCs w:val="1"/>
                <w:color w:val="auto"/>
                <w:w w:val="87"/>
              </w:rPr>
              <w:t>(2)</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w w:val="87"/>
                <w:vertAlign w:val="subscript"/>
              </w:rPr>
              <w:t>($)</w:t>
            </w:r>
            <w:r>
              <w:rPr>
                <w:rFonts w:ascii="Times New Roman" w:cs="Times New Roman" w:eastAsia="Times New Roman" w:hAnsi="Times New Roman"/>
                <w:sz w:val="10"/>
                <w:szCs w:val="10"/>
                <w:b w:val="1"/>
                <w:bCs w:val="1"/>
                <w:color w:val="auto"/>
                <w:w w:val="87"/>
              </w:rPr>
              <w:t>(3)</w:t>
            </w:r>
          </w:p>
        </w:tc>
        <w:tc>
          <w:tcPr>
            <w:tcW w:w="8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w w:val="87"/>
                <w:vertAlign w:val="subscript"/>
              </w:rPr>
              <w:t>($)</w:t>
            </w:r>
            <w:r>
              <w:rPr>
                <w:rFonts w:ascii="Times New Roman" w:cs="Times New Roman" w:eastAsia="Times New Roman" w:hAnsi="Times New Roman"/>
                <w:sz w:val="10"/>
                <w:szCs w:val="10"/>
                <w:b w:val="1"/>
                <w:bCs w:val="1"/>
                <w:color w:val="auto"/>
                <w:w w:val="87"/>
              </w:rPr>
              <w:t>(4)</w:t>
            </w:r>
          </w:p>
        </w:tc>
      </w:tr>
      <w:tr>
        <w:trPr>
          <w:trHeight w:val="135"/>
        </w:trPr>
        <w:tc>
          <w:tcPr>
            <w:tcW w:w="9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Executive</w:t>
            </w: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r>
      <w:tr>
        <w:trPr>
          <w:trHeight w:val="182"/>
        </w:trPr>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Officers</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24"/>
        </w:trPr>
        <w:tc>
          <w:tcPr>
            <w:tcW w:w="900" w:type="dxa"/>
            <w:vAlign w:val="bottom"/>
            <w:gridSpan w:val="2"/>
          </w:tcPr>
          <w:p>
            <w:pPr>
              <w:spacing w:after="0" w:line="124" w:lineRule="exact"/>
              <w:rPr>
                <w:sz w:val="20"/>
                <w:szCs w:val="20"/>
                <w:color w:val="auto"/>
              </w:rPr>
            </w:pPr>
            <w:r>
              <w:rPr>
                <w:rFonts w:ascii="Times New Roman" w:cs="Times New Roman" w:eastAsia="Times New Roman" w:hAnsi="Times New Roman"/>
                <w:sz w:val="13"/>
                <w:szCs w:val="13"/>
                <w:color w:val="auto"/>
              </w:rPr>
              <w:t>David J. Mazzo,</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86"/>
        </w:trPr>
        <w:tc>
          <w:tcPr>
            <w:tcW w:w="900" w:type="dxa"/>
            <w:vAlign w:val="bottom"/>
            <w:gridSpan w:val="2"/>
          </w:tcPr>
          <w:p>
            <w:pPr>
              <w:ind w:left="120"/>
              <w:spacing w:after="0" w:line="186" w:lineRule="exact"/>
              <w:rPr>
                <w:sz w:val="20"/>
                <w:szCs w:val="20"/>
                <w:color w:val="auto"/>
              </w:rPr>
            </w:pPr>
            <w:r>
              <w:rPr>
                <w:rFonts w:ascii="Times New Roman" w:cs="Times New Roman" w:eastAsia="Times New Roman" w:hAnsi="Times New Roman"/>
                <w:sz w:val="13"/>
                <w:szCs w:val="13"/>
                <w:color w:val="auto"/>
              </w:rPr>
              <w:t>Ph.D.</w:t>
            </w:r>
            <w:r>
              <w:rPr>
                <w:rFonts w:ascii="Times New Roman" w:cs="Times New Roman" w:eastAsia="Times New Roman" w:hAnsi="Times New Roman"/>
                <w:sz w:val="20"/>
                <w:szCs w:val="20"/>
                <w:color w:val="auto"/>
                <w:vertAlign w:val="superscript"/>
              </w:rPr>
              <w:t>(5)</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95,250</w:t>
            </w:r>
          </w:p>
        </w:tc>
        <w:tc>
          <w:tcPr>
            <w:tcW w:w="840" w:type="dxa"/>
            <w:vAlign w:val="bottom"/>
            <w:gridSpan w:val="3"/>
          </w:tcPr>
          <w:p>
            <w:pPr>
              <w:jc w:val="center"/>
              <w:ind w:left="19"/>
              <w:spacing w:after="0"/>
              <w:rPr>
                <w:sz w:val="20"/>
                <w:szCs w:val="20"/>
                <w:color w:val="auto"/>
              </w:rPr>
            </w:pPr>
            <w:r>
              <w:rPr>
                <w:rFonts w:ascii="Times New Roman" w:cs="Times New Roman" w:eastAsia="Times New Roman" w:hAnsi="Times New Roman"/>
                <w:sz w:val="13"/>
                <w:szCs w:val="13"/>
                <w:color w:val="auto"/>
              </w:rPr>
              <w:t>86,730</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61,750</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4"/>
              </w:rPr>
              <w:t>75,710</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36,726</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9"/>
              </w:rPr>
              <w:t>124,750</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9"/>
              </w:rPr>
              <w:t>499,000</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9"/>
              </w:rPr>
              <w:t>845,250</w:t>
            </w:r>
          </w:p>
        </w:tc>
      </w:tr>
      <w:tr>
        <w:trPr>
          <w:trHeight w:val="130"/>
        </w:trPr>
        <w:tc>
          <w:tcPr>
            <w:tcW w:w="900" w:type="dxa"/>
            <w:vAlign w:val="bottom"/>
            <w:gridSpan w:val="2"/>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Kristen K.</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80"/>
        </w:trPr>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Buck, M.D.</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29,250</w:t>
            </w:r>
          </w:p>
        </w:tc>
        <w:tc>
          <w:tcPr>
            <w:tcW w:w="84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3"/>
                <w:szCs w:val="13"/>
                <w:color w:val="auto"/>
              </w:rPr>
              <w:t>26,558</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19,750</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24,313</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78,027</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38,000</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152,000</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261,000</w:t>
            </w:r>
          </w:p>
        </w:tc>
      </w:tr>
      <w:tr>
        <w:trPr>
          <w:trHeight w:val="170"/>
        </w:trPr>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James Nisco</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11,250</w:t>
            </w:r>
          </w:p>
        </w:tc>
        <w:tc>
          <w:tcPr>
            <w:tcW w:w="840" w:type="dxa"/>
            <w:vAlign w:val="bottom"/>
            <w:gridSpan w:val="3"/>
          </w:tcPr>
          <w:p>
            <w:pPr>
              <w:jc w:val="center"/>
              <w:ind w:left="19"/>
              <w:spacing w:after="0"/>
              <w:rPr>
                <w:sz w:val="20"/>
                <w:szCs w:val="20"/>
                <w:color w:val="auto"/>
              </w:rPr>
            </w:pPr>
            <w:r>
              <w:rPr>
                <w:rFonts w:ascii="Times New Roman" w:cs="Times New Roman" w:eastAsia="Times New Roman" w:hAnsi="Times New Roman"/>
                <w:sz w:val="13"/>
                <w:szCs w:val="13"/>
                <w:color w:val="auto"/>
              </w:rPr>
              <w:t>10,013</w:t>
            </w:r>
          </w:p>
        </w:tc>
        <w:tc>
          <w:tcPr>
            <w:tcW w:w="6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9,750</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4"/>
              </w:rPr>
              <w:t>12,278</w:t>
            </w:r>
          </w:p>
        </w:tc>
        <w:tc>
          <w:tcPr>
            <w:tcW w:w="5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2,878</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20,749</w:t>
            </w:r>
          </w:p>
        </w:tc>
        <w:tc>
          <w:tcPr>
            <w:tcW w:w="80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82,996</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9"/>
              </w:rPr>
              <w:t>125,247</w:t>
            </w:r>
          </w:p>
        </w:tc>
      </w:tr>
      <w:tr>
        <w:trPr>
          <w:trHeight w:val="181"/>
        </w:trPr>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Tariq Imam</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10,250</w:t>
            </w:r>
          </w:p>
        </w:tc>
        <w:tc>
          <w:tcPr>
            <w:tcW w:w="840" w:type="dxa"/>
            <w:vAlign w:val="bottom"/>
            <w:gridSpan w:val="3"/>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9,813</w:t>
            </w:r>
          </w:p>
        </w:tc>
        <w:tc>
          <w:tcPr>
            <w:tcW w:w="6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8,750</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12,078</w:t>
            </w:r>
          </w:p>
        </w:tc>
        <w:tc>
          <w:tcPr>
            <w:tcW w:w="5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2,690</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17,749</w:t>
            </w:r>
          </w:p>
        </w:tc>
        <w:tc>
          <w:tcPr>
            <w:tcW w:w="8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70,996</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110,247</w:t>
            </w:r>
          </w:p>
        </w:tc>
      </w:tr>
      <w:tr>
        <w:trPr>
          <w:trHeight w:val="128"/>
        </w:trPr>
        <w:tc>
          <w:tcPr>
            <w:tcW w:w="9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Non-Employee</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4"/>
        </w:trPr>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Directors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8"/>
        </w:trPr>
        <w:tc>
          <w:tcPr>
            <w:tcW w:w="90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Gregory B.</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80"/>
        </w:trPr>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Brown, M.D.</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459</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64,927</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259,708</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30,456</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121,824</w:t>
            </w: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286,149</w:t>
            </w:r>
          </w:p>
        </w:tc>
      </w:tr>
      <w:tr>
        <w:trPr>
          <w:trHeight w:val="130"/>
        </w:trPr>
        <w:tc>
          <w:tcPr>
            <w:tcW w:w="900" w:type="dxa"/>
            <w:vAlign w:val="bottom"/>
            <w:gridSpan w:val="2"/>
          </w:tcPr>
          <w:p>
            <w:pPr>
              <w:spacing w:after="0" w:line="131" w:lineRule="exact"/>
              <w:rPr>
                <w:sz w:val="20"/>
                <w:szCs w:val="20"/>
                <w:color w:val="auto"/>
              </w:rPr>
            </w:pPr>
            <w:r>
              <w:rPr>
                <w:rFonts w:ascii="Times New Roman" w:cs="Times New Roman" w:eastAsia="Times New Roman" w:hAnsi="Times New Roman"/>
                <w:sz w:val="13"/>
                <w:szCs w:val="13"/>
                <w:color w:val="auto"/>
              </w:rPr>
              <w:t>Cynthia L.</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9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Flowers,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2"/>
        </w:trPr>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M.B.A.</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64,990</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4"/>
              </w:rPr>
              <w:t>259,960</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30,456</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9"/>
              </w:rPr>
              <w:t>121,824</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9"/>
              </w:rPr>
              <w:t>286,338</w:t>
            </w:r>
          </w:p>
        </w:tc>
      </w:tr>
      <w:tr>
        <w:trPr>
          <w:trHeight w:val="138"/>
        </w:trPr>
        <w:tc>
          <w:tcPr>
            <w:tcW w:w="90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Steven M.</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80"/>
        </w:trPr>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Klosk, J.D.</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266</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64,927</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259,708</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30,456</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121,824</w:t>
            </w: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286,149</w:t>
            </w:r>
          </w:p>
        </w:tc>
      </w:tr>
      <w:tr>
        <w:trPr>
          <w:trHeight w:val="170"/>
        </w:trPr>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Heidi Henson</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10,676</w:t>
            </w:r>
          </w:p>
        </w:tc>
        <w:tc>
          <w:tcPr>
            <w:tcW w:w="840" w:type="dxa"/>
            <w:vAlign w:val="bottom"/>
            <w:gridSpan w:val="3"/>
          </w:tcPr>
          <w:p>
            <w:pPr>
              <w:jc w:val="right"/>
              <w:ind w:right="157"/>
              <w:spacing w:after="0"/>
              <w:rPr>
                <w:sz w:val="20"/>
                <w:szCs w:val="20"/>
                <w:color w:val="auto"/>
              </w:rPr>
            </w:pPr>
            <w:r>
              <w:rPr>
                <w:rFonts w:ascii="Times New Roman" w:cs="Times New Roman" w:eastAsia="Times New Roman" w:hAnsi="Times New Roman"/>
                <w:sz w:val="13"/>
                <w:szCs w:val="13"/>
                <w:color w:val="auto"/>
              </w:rPr>
              <w:t>4,270</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21,352</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55,269</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4"/>
              </w:rPr>
              <w:t>221,076</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30,456</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9"/>
              </w:rPr>
              <w:t>121,824</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9"/>
              </w:rPr>
              <w:t>289,203</w:t>
            </w:r>
          </w:p>
        </w:tc>
      </w:tr>
      <w:tr>
        <w:trPr>
          <w:trHeight w:val="136"/>
        </w:trPr>
        <w:tc>
          <w:tcPr>
            <w:tcW w:w="9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Mohammad</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9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Azab, M.D.,</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53"/>
        </w:trPr>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M.B.A</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74,469</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297,876</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30,456</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121,824</w:t>
            </w: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314,775</w:t>
            </w:r>
          </w:p>
        </w:tc>
      </w:tr>
      <w:tr>
        <w:trPr>
          <w:trHeight w:val="68"/>
        </w:trPr>
        <w:tc>
          <w:tcPr>
            <w:tcW w:w="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r>
      <w:tr>
        <w:trPr>
          <w:trHeight w:val="68"/>
        </w:trPr>
        <w:tc>
          <w:tcPr>
            <w:tcW w:w="54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r>
    </w:tbl>
    <w:p>
      <w:pPr>
        <w:spacing w:after="0" w:line="29" w:lineRule="exact"/>
        <w:rPr>
          <w:sz w:val="20"/>
          <w:szCs w:val="20"/>
          <w:color w:val="auto"/>
        </w:rPr>
      </w:pPr>
    </w:p>
    <w:p>
      <w:pPr>
        <w:ind w:left="880" w:right="780" w:hanging="348"/>
        <w:spacing w:after="0" w:line="261" w:lineRule="auto"/>
        <w:tabs>
          <w:tab w:leader="none" w:pos="8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Treatment of Company Stock Options</w:t>
      </w:r>
      <w:r>
        <w:rPr>
          <w:rFonts w:ascii="Times New Roman" w:cs="Times New Roman" w:eastAsia="Times New Roman" w:hAnsi="Times New Roman"/>
          <w:sz w:val="14"/>
          <w:szCs w:val="14"/>
          <w:color w:val="auto"/>
        </w:rPr>
        <w:t>” above. The table assumes that each Out-Of-The-Money Company Stock Option held by the Company’s executive officers and directors will be cancelled as of the Effective Time for no consideration.</w:t>
      </w:r>
    </w:p>
    <w:p>
      <w:pPr>
        <w:ind w:left="880" w:hanging="348"/>
        <w:spacing w:after="0"/>
        <w:tabs>
          <w:tab w:leader="none" w:pos="8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Treatment of Company RSUs</w:t>
      </w:r>
      <w:r>
        <w:rPr>
          <w:rFonts w:ascii="Times New Roman" w:cs="Times New Roman" w:eastAsia="Times New Roman" w:hAnsi="Times New Roman"/>
          <w:sz w:val="14"/>
          <w:szCs w:val="14"/>
          <w:color w:val="auto"/>
        </w:rPr>
        <w:t>” above.</w:t>
      </w:r>
    </w:p>
    <w:p>
      <w:pPr>
        <w:spacing w:after="0" w:line="41" w:lineRule="exact"/>
        <w:rPr>
          <w:rFonts w:ascii="Times New Roman" w:cs="Times New Roman" w:eastAsia="Times New Roman" w:hAnsi="Times New Roman"/>
          <w:sz w:val="14"/>
          <w:szCs w:val="14"/>
          <w:color w:val="auto"/>
        </w:rPr>
      </w:pPr>
    </w:p>
    <w:p>
      <w:pPr>
        <w:ind w:left="880" w:hanging="348"/>
        <w:spacing w:after="0"/>
        <w:tabs>
          <w:tab w:leader="none" w:pos="8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Treatment of Company Restricted Stock Awards</w:t>
      </w:r>
      <w:r>
        <w:rPr>
          <w:rFonts w:ascii="Times New Roman" w:cs="Times New Roman" w:eastAsia="Times New Roman" w:hAnsi="Times New Roman"/>
          <w:sz w:val="14"/>
          <w:szCs w:val="14"/>
          <w:color w:val="auto"/>
        </w:rPr>
        <w:t>” above.</w:t>
      </w:r>
    </w:p>
    <w:p>
      <w:pPr>
        <w:spacing w:after="0" w:line="43" w:lineRule="exact"/>
        <w:rPr>
          <w:rFonts w:ascii="Times New Roman" w:cs="Times New Roman" w:eastAsia="Times New Roman" w:hAnsi="Times New Roman"/>
          <w:sz w:val="14"/>
          <w:szCs w:val="14"/>
          <w:color w:val="auto"/>
        </w:rPr>
      </w:pPr>
    </w:p>
    <w:p>
      <w:pPr>
        <w:ind w:left="880" w:right="740" w:hanging="348"/>
        <w:spacing w:after="0" w:line="241" w:lineRule="auto"/>
        <w:tabs>
          <w:tab w:leader="none" w:pos="8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payable in respect of CVRs, assuming that the Milestones are achieved such that the payment under the CVR for each Common Share will be $3.00. As discussed herein, the Milestone Payments are conditioned on the achievement of the Milestones set forth in the CVR Agreement, and each such Milestone may or may not be achieved.</w:t>
      </w:r>
    </w:p>
    <w:p>
      <w:pPr>
        <w:spacing w:after="0" w:line="14" w:lineRule="exact"/>
        <w:rPr>
          <w:rFonts w:ascii="Times New Roman" w:cs="Times New Roman" w:eastAsia="Times New Roman" w:hAnsi="Times New Roman"/>
          <w:sz w:val="14"/>
          <w:szCs w:val="14"/>
          <w:color w:val="auto"/>
        </w:rPr>
      </w:pPr>
    </w:p>
    <w:p>
      <w:pPr>
        <w:ind w:left="880" w:hanging="348"/>
        <w:spacing w:after="0"/>
        <w:tabs>
          <w:tab w:leader="none" w:pos="8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Mazzo is both an executive officer and director of the Company.</w:t>
      </w:r>
    </w:p>
    <w:p>
      <w:pPr>
        <w:spacing w:after="0" w:line="2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Effect of the Offer and the Merger on Outstanding Shares</w:t>
      </w:r>
    </w:p>
    <w:p>
      <w:pPr>
        <w:spacing w:after="0" w:line="121" w:lineRule="exact"/>
        <w:rPr>
          <w:sz w:val="20"/>
          <w:szCs w:val="20"/>
          <w:color w:val="auto"/>
        </w:rPr>
      </w:pPr>
    </w:p>
    <w:p>
      <w:pPr>
        <w:ind w:left="540" w:right="640"/>
        <w:spacing w:after="0" w:line="274" w:lineRule="auto"/>
        <w:rPr>
          <w:sz w:val="20"/>
          <w:szCs w:val="20"/>
          <w:color w:val="auto"/>
        </w:rPr>
      </w:pPr>
      <w:r>
        <w:rPr>
          <w:rFonts w:ascii="Times New Roman" w:cs="Times New Roman" w:eastAsia="Times New Roman" w:hAnsi="Times New Roman"/>
          <w:sz w:val="17"/>
          <w:szCs w:val="17"/>
          <w:color w:val="auto"/>
        </w:rPr>
        <w:t>If the executive officers and directors of the Company who own Common Shares tender their Common Shares for purchase pursuant to the Offer, they will receive the same cash consideration on the same terms and conditions as the other stockholders of the Company. If such executive officers and directors do not tender their Common Shares for purchase pursuant to the Offer, but the conditions to the Offer are otherwise satisfied or waived in accordance with the terms of the Merger Agreement and the Merger is consummated, such executive officers and directors will receive the same cash consideration in the Merger on the same terms and conditions as the other stockholders of the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Company. As of June 8, 2026, excluding Common Shares underlying Company Stock Options, Company Restricted Stock and Company RSUs, and assuming no such Company Stock Options are exercised and no such Company Restricted Stock or Company RSUs will vest and/or be settled and no shares will be acquired under the Company’s 2017 Employee Stock Purchase Plan (the “</w:t>
      </w:r>
      <w:r>
        <w:rPr>
          <w:rFonts w:ascii="Times New Roman" w:cs="Times New Roman" w:eastAsia="Times New Roman" w:hAnsi="Times New Roman"/>
          <w:sz w:val="18"/>
          <w:szCs w:val="18"/>
          <w:b w:val="1"/>
          <w:bCs w:val="1"/>
          <w:color w:val="auto"/>
        </w:rPr>
        <w:t>2017 ESPP</w:t>
      </w:r>
      <w:r>
        <w:rPr>
          <w:rFonts w:ascii="Times New Roman" w:cs="Times New Roman" w:eastAsia="Times New Roman" w:hAnsi="Times New Roman"/>
          <w:sz w:val="18"/>
          <w:szCs w:val="18"/>
          <w:color w:val="auto"/>
        </w:rPr>
        <w:t>”), and filed as Exhibit(e)(12) to this Schedule 14D-9, which is incorporated by reference herein, of June 8, 2026, the executive officers and directors of the Company beneficially own an aggregate of 273,211 Shares.</w:t>
      </w:r>
    </w:p>
    <w:p>
      <w:pPr>
        <w:spacing w:after="0" w:line="79"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 following table sets forth (i) the number of Shares beneficially owned as of June 8, 2026 by each of the Company’s executive officers and directors (not including any Company Stock Options, Company Restricted Stock or Company RSUs), (ii) the aggregate cash consideration that would be payable for such Shares pursuant to the Offer or the Merger, and (iii) the maximum aggregate contingent consideration that each such individual would be entitled to receive in respect of his or her Common Shares, inclusive of the value of the CVRs.</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6"/>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97"/>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80" w:type="dxa"/>
            <w:vAlign w:val="bottom"/>
            <w:gridSpan w:val="2"/>
          </w:tcPr>
          <w:p>
            <w:pPr>
              <w:ind w:left="100"/>
              <w:spacing w:after="0" w:line="146"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at Closing</w:t>
            </w:r>
          </w:p>
        </w:tc>
        <w:tc>
          <w:tcPr>
            <w:tcW w:w="100" w:type="dxa"/>
            <w:vAlign w:val="bottom"/>
          </w:tcPr>
          <w:p>
            <w:pPr>
              <w:spacing w:after="0"/>
              <w:rPr>
                <w:sz w:val="18"/>
                <w:szCs w:val="18"/>
                <w:color w:val="auto"/>
              </w:rPr>
            </w:pPr>
          </w:p>
        </w:tc>
        <w:tc>
          <w:tcPr>
            <w:tcW w:w="880" w:type="dxa"/>
            <w:vAlign w:val="bottom"/>
            <w:tcBorders>
              <w:bottom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CVRs)</w:t>
            </w:r>
            <w:r>
              <w:rPr>
                <w:rFonts w:ascii="Times New Roman" w:cs="Times New Roman" w:eastAsia="Times New Roman" w:hAnsi="Times New Roman"/>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David J. Mazzo, Ph.D., </w:t>
            </w:r>
            <w:r>
              <w:rPr>
                <w:rFonts w:ascii="Times New Roman" w:cs="Times New Roman" w:eastAsia="Times New Roman" w:hAnsi="Times New Roman"/>
                <w:sz w:val="18"/>
                <w:szCs w:val="18"/>
                <w:i w:val="1"/>
                <w:iCs w:val="1"/>
                <w:color w:val="auto"/>
              </w:rPr>
              <w:t>President and Chief Executive Officer and Director</w:t>
            </w: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187,150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748,600​</w:t>
            </w:r>
          </w:p>
        </w:tc>
        <w:tc>
          <w:tcPr>
            <w:tcW w:w="98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$561,450</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xml:space="preserve">Kristen K. Buck, M.D., </w:t>
            </w:r>
            <w:r>
              <w:rPr>
                <w:rFonts w:ascii="Times New Roman" w:cs="Times New Roman" w:eastAsia="Times New Roman" w:hAnsi="Times New Roman"/>
                <w:sz w:val="18"/>
                <w:szCs w:val="18"/>
                <w:i w:val="1"/>
                <w:iCs w:val="1"/>
                <w:color w:val="auto"/>
                <w:w w:val="99"/>
              </w:rPr>
              <w:t>Executive Vice President of Research &amp; Development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and Chief Medical Officer</w:t>
            </w:r>
          </w:p>
        </w:tc>
        <w:tc>
          <w:tcPr>
            <w:tcW w:w="8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55,462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221,848​</w:t>
            </w:r>
          </w:p>
        </w:tc>
        <w:tc>
          <w:tcPr>
            <w:tcW w:w="98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$166,386</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James Nisco, </w:t>
            </w:r>
            <w:r>
              <w:rPr>
                <w:rFonts w:ascii="Times New Roman" w:cs="Times New Roman" w:eastAsia="Times New Roman" w:hAnsi="Times New Roman"/>
                <w:sz w:val="18"/>
                <w:szCs w:val="18"/>
                <w:i w:val="1"/>
                <w:iCs w:val="1"/>
                <w:color w:val="auto"/>
              </w:rPr>
              <w:t>Senior Vice President, Finance and Treasury and Chief</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11,562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46,248​</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​34,686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Tariq Imam, </w:t>
            </w:r>
            <w:r>
              <w:rPr>
                <w:rFonts w:ascii="Times New Roman" w:cs="Times New Roman" w:eastAsia="Times New Roman" w:hAnsi="Times New Roman"/>
                <w:sz w:val="18"/>
                <w:szCs w:val="18"/>
                <w:i w:val="1"/>
                <w:iCs w:val="1"/>
                <w:color w:val="auto"/>
              </w:rPr>
              <w:t>Senior Vice President, Business Development and Operations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and General Counsel</w:t>
            </w:r>
          </w:p>
        </w:tc>
        <w:tc>
          <w:tcPr>
            <w:tcW w:w="8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18,329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73,316​</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​54,987</w:t>
            </w:r>
          </w:p>
        </w:tc>
        <w:tc>
          <w:tcPr>
            <w:tcW w:w="0" w:type="dxa"/>
            <w:vAlign w:val="bottom"/>
          </w:tcPr>
          <w:p>
            <w:pPr>
              <w:spacing w:after="0"/>
              <w:rPr>
                <w:sz w:val="1"/>
                <w:szCs w:val="1"/>
                <w:color w:val="auto"/>
              </w:rPr>
            </w:pPr>
          </w:p>
        </w:tc>
      </w:tr>
      <w:tr>
        <w:trPr>
          <w:trHeight w:val="241"/>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Gregory B. Brown, M.D., </w:t>
            </w:r>
            <w:r>
              <w:rPr>
                <w:rFonts w:ascii="Times New Roman" w:cs="Times New Roman" w:eastAsia="Times New Roman" w:hAnsi="Times New Roman"/>
                <w:sz w:val="18"/>
                <w:szCs w:val="18"/>
                <w:i w:val="1"/>
                <w:iCs w:val="1"/>
                <w:color w:val="auto"/>
              </w:rPr>
              <w:t>Chairman of the Board of Directors</w:t>
            </w:r>
          </w:p>
        </w:tc>
        <w:tc>
          <w:tcPr>
            <w:tcW w:w="8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3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Cynthia L. Flowers, M.B.A.</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M. Klosk, J.D.</w:t>
            </w:r>
          </w:p>
        </w:tc>
        <w:tc>
          <w:tcPr>
            <w:tcW w:w="8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3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Heidi Henson</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Mohammad Azab, M.D., M.B.A.</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 of our current executive officers and non-employee directors as a group</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 persons)</w:t>
            </w: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273,211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$1,092,844</w:t>
            </w:r>
          </w:p>
        </w:tc>
        <w:tc>
          <w:tcPr>
            <w:tcW w:w="98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$819,633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jc w:val="both"/>
        <w:ind w:left="640" w:right="539" w:hanging="348"/>
        <w:spacing w:after="0" w:line="24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calculating the number of Common Shares beneficially owned for this purpose, we have excluded Common Shares issuable upon the exercise of outstanding Company Stock Options and the vesting and/or settlement of shares of Company Restricted Stock and Company RSUs and shares that may be acquired under the 2017 ESPP following June 8, 2026.</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value of the Common Shares assumes timely satisfaction of the Milestones under the CVR Agreement.</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Effect of the Offer and the Merger on the Company Equity Plans</w:t>
      </w:r>
    </w:p>
    <w:p>
      <w:pPr>
        <w:spacing w:after="0" w:line="121"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The Merger Agreement provides that the Board (or, if appropriate, a committee administering the Company Equity Plans) will adopt, prior to the Effective Time, resolutions and will take all actions necessary to (i) terminate each Company Equity Plan in accordance with its terms, effective as of the Effective Time and (ii) approve the actions contemplated by the Merger Agreement in respect of the Company Stock Options, Company Restricted Stock and Company RSUs (as described in the section entitled “-</w:t>
      </w:r>
      <w:r>
        <w:rPr>
          <w:rFonts w:ascii="Times New Roman" w:cs="Times New Roman" w:eastAsia="Times New Roman" w:hAnsi="Times New Roman"/>
          <w:sz w:val="18"/>
          <w:szCs w:val="18"/>
          <w:i w:val="1"/>
          <w:iCs w:val="1"/>
          <w:color w:val="auto"/>
        </w:rPr>
        <w:t>Effect of the Offer and the Merger on 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above).</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Effect of the Offer and the Merger on the Company’s Employee Stock Purchase Plan</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provides that, prior to the Effective Time, the Board will adopt resolutions to (i) provide that</w:t>
      </w:r>
    </w:p>
    <w:p>
      <w:pPr>
        <w:spacing w:after="0" w:line="27" w:lineRule="exact"/>
        <w:rPr>
          <w:sz w:val="20"/>
          <w:szCs w:val="20"/>
          <w:color w:val="auto"/>
        </w:rPr>
      </w:pPr>
    </w:p>
    <w:p>
      <w:pPr>
        <w:ind w:left="300" w:right="319" w:hanging="8"/>
        <w:spacing w:after="0" w:line="277" w:lineRule="auto"/>
        <w:tabs>
          <w:tab w:leader="none" w:pos="5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commencement of any offering period will be suspended following the date of the Merger Agreement under the 2017 ESPP unless and until the Merger Agreement is terminated, (B) no individuals will commence participation in the 2017 ESPP during the period from the date of the Merger Agreement through the Effective Time, and (C) no</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current participant in the 2017 ESPP may increase his or her rate of contribution under the 2017 ESPP during the period from the date of the Merger Agreement through the Effective Time, and (ii) terminate the 2017 ESPP and all outstanding rights thereunder effective as of the Effective Time, with any outstanding rights as of immediately prior to the Effective Time automatically exercised for whole Shares prior to the Effective Time in accordance with the terms of the 2017 ESPP (and the Company will return to each participant the funds, if any, that remain in such participant’s account after such purchase). As of the date of this Schedule 14D-9, the Board has so approved by unanimous resolution.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and Change in Control Agreements</w:t>
      </w:r>
    </w:p>
    <w:p>
      <w:pPr>
        <w:spacing w:after="0" w:line="12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Each executive officer of the Company has entered into an agreement pursuant to which the executive officers are eligible to receive certain payments and benefits in the event of the executive officer’s termination of employment without cause or resignation by the executive officer for good reason (a “</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In the event of an executive officer’s Qualifying Termination, outside a Change in Control Period (as defined below), the executive officer would be eligible to receive (i) twelve (12) months of base salary continuation (15 months in the case of Dr. Mazzo), (ii) twelve (12) months of company-subsidized COBRA continuation (15 months in the case of</w:t>
      </w:r>
    </w:p>
    <w:p>
      <w:pPr>
        <w:spacing w:after="0" w:line="5"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Dr. Mazzo), (iii) a lump sum payment of 100% of the target annual bonus that is in effect in the year of termination (125% of the threshold target annual bonus of 55% in the case of Dr. Mazzo), (iv) the post-termination period for vested options shall be extended for one (1) year following termination or the remaining term of such option awards, whichever period is shorter, and (v) for Dr. Mazzo only, accelerated vesting on 25% of his then-outstanding unvested equity awards, provided that the executive officer executes, and does not revoke, a separation agreement and release and continues to comply with any post-employment restrictive covenants.</w:t>
      </w:r>
    </w:p>
    <w:p>
      <w:pPr>
        <w:spacing w:after="0" w:line="82"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Pursuant to these agreements, in the event of an executive officer’s Qualifying Termination within the two (2) year period following the consummation of a change in control (such period, the “</w:t>
      </w:r>
      <w:r>
        <w:rPr>
          <w:rFonts w:ascii="Times New Roman" w:cs="Times New Roman" w:eastAsia="Times New Roman" w:hAnsi="Times New Roman"/>
          <w:sz w:val="18"/>
          <w:szCs w:val="18"/>
          <w:b w:val="1"/>
          <w:bCs w:val="1"/>
          <w:color w:val="auto"/>
        </w:rPr>
        <w:t>Change in Control Period</w:t>
      </w:r>
      <w:r>
        <w:rPr>
          <w:rFonts w:ascii="Times New Roman" w:cs="Times New Roman" w:eastAsia="Times New Roman" w:hAnsi="Times New Roman"/>
          <w:sz w:val="18"/>
          <w:szCs w:val="18"/>
          <w:color w:val="auto"/>
        </w:rPr>
        <w:t>” and such termination, a “</w:t>
      </w:r>
      <w:r>
        <w:rPr>
          <w:rFonts w:ascii="Times New Roman" w:cs="Times New Roman" w:eastAsia="Times New Roman" w:hAnsi="Times New Roman"/>
          <w:sz w:val="18"/>
          <w:szCs w:val="18"/>
          <w:b w:val="1"/>
          <w:bCs w:val="1"/>
          <w:color w:val="auto"/>
        </w:rPr>
        <w:t>Change in Control Termination</w:t>
      </w:r>
      <w:r>
        <w:rPr>
          <w:rFonts w:ascii="Times New Roman" w:cs="Times New Roman" w:eastAsia="Times New Roman" w:hAnsi="Times New Roman"/>
          <w:sz w:val="18"/>
          <w:szCs w:val="18"/>
          <w:color w:val="auto"/>
        </w:rPr>
        <w:t>”), the executive officer will be eligible to receive the payments described below.</w:t>
      </w:r>
    </w:p>
    <w:p>
      <w:pPr>
        <w:spacing w:after="0" w:line="72"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 Mazzo</w:t>
      </w:r>
    </w:p>
    <w:p>
      <w:pPr>
        <w:spacing w:after="0" w:line="117" w:lineRule="exact"/>
        <w:rPr>
          <w:sz w:val="20"/>
          <w:szCs w:val="20"/>
          <w:color w:val="auto"/>
        </w:rPr>
      </w:pPr>
    </w:p>
    <w:p>
      <w:pPr>
        <w:ind w:left="660" w:right="319"/>
        <w:spacing w:after="0" w:line="253" w:lineRule="auto"/>
        <w:rPr>
          <w:sz w:val="20"/>
          <w:szCs w:val="20"/>
          <w:color w:val="auto"/>
        </w:rPr>
      </w:pPr>
      <w:r>
        <w:rPr>
          <w:rFonts w:ascii="Times New Roman" w:cs="Times New Roman" w:eastAsia="Times New Roman" w:hAnsi="Times New Roman"/>
          <w:sz w:val="18"/>
          <w:szCs w:val="18"/>
          <w:color w:val="auto"/>
        </w:rPr>
        <w:t>On June 10, 2025, the Company entered into an amended and restated employment agreement with David J. Mazzo, Ph.D., the Company’s Chief Executive Officer (the “</w:t>
      </w:r>
      <w:r>
        <w:rPr>
          <w:rFonts w:ascii="Times New Roman" w:cs="Times New Roman" w:eastAsia="Times New Roman" w:hAnsi="Times New Roman"/>
          <w:sz w:val="18"/>
          <w:szCs w:val="18"/>
          <w:b w:val="1"/>
          <w:bCs w:val="1"/>
          <w:color w:val="auto"/>
        </w:rPr>
        <w:t>Mazzo Second Amended and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Pursuant to the Mazzo Second Amended and Restated Employment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two (2) year period following a change in control, Dr. Mazzo is eligible to receive (i) severance payments equal to Dr. Mazzo’s then-current base salary for a period of eighteen (18) months following termination, (ii) company-subsidized COBRA continuation for eighteen (18) months with reimbursement of the cost of the monthly premium for Dr. Mazzo’s group health plan coverage, (iii) a bonus payment in the form of a lump sum equal to 150% of Dr. Mazzo’s then-current target annual bonus; and (iv) immediate full vesting of 100% of his outstanding unvested equity awards which options shall be exercisable for one (1) year following termination or the remaining term of such option awards, whichever period is shorter, provided that Dr. Mazzo executes, and does not revoke, a separation agreement and release.</w:t>
      </w:r>
    </w:p>
    <w:p>
      <w:pPr>
        <w:spacing w:after="0" w:line="84"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 Buck</w:t>
      </w:r>
    </w:p>
    <w:p>
      <w:pPr>
        <w:spacing w:after="0" w:line="117" w:lineRule="exact"/>
        <w:rPr>
          <w:sz w:val="20"/>
          <w:szCs w:val="20"/>
          <w:color w:val="auto"/>
        </w:rPr>
      </w:pPr>
    </w:p>
    <w:p>
      <w:pPr>
        <w:ind w:left="660" w:right="419"/>
        <w:spacing w:after="0" w:line="253" w:lineRule="auto"/>
        <w:rPr>
          <w:sz w:val="20"/>
          <w:szCs w:val="20"/>
          <w:color w:val="auto"/>
        </w:rPr>
      </w:pPr>
      <w:r>
        <w:rPr>
          <w:rFonts w:ascii="Times New Roman" w:cs="Times New Roman" w:eastAsia="Times New Roman" w:hAnsi="Times New Roman"/>
          <w:sz w:val="18"/>
          <w:szCs w:val="18"/>
          <w:color w:val="auto"/>
        </w:rPr>
        <w:t>On June 10, 2025, the Company entered into an amended and restated employment agreement with Kristen K. Buck, M.D., the Company’s Vice President, R&amp;D and Chief Medical Officer (the “</w:t>
      </w:r>
      <w:r>
        <w:rPr>
          <w:rFonts w:ascii="Times New Roman" w:cs="Times New Roman" w:eastAsia="Times New Roman" w:hAnsi="Times New Roman"/>
          <w:sz w:val="18"/>
          <w:szCs w:val="18"/>
          <w:b w:val="1"/>
          <w:bCs w:val="1"/>
          <w:color w:val="auto"/>
        </w:rPr>
        <w:t>Buck Amended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Restated Employment Agreement</w:t>
      </w:r>
      <w:r>
        <w:rPr>
          <w:rFonts w:ascii="Times New Roman" w:cs="Times New Roman" w:eastAsia="Times New Roman" w:hAnsi="Times New Roman"/>
          <w:sz w:val="18"/>
          <w:szCs w:val="18"/>
          <w:color w:val="auto"/>
        </w:rPr>
        <w:t>”). Pursuant to the Buck Amended and Restated Employment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two (2) year period following a change in control, Dr. Buck is eligible to receive (i) severance payments equal to Dr. Buck’s then-current base salary for a period of 15 months following termination, (ii) company-subsidized COBRA continuation for 15 months with reimbursement of the cost of the monthly premium for Dr. Buck’s group health plan coverage, (iii) a bonus payment in the form of a lump sum equal to 125% of Dr. Buck’s then-current target annual bonus, and (iv) immediate full vesting of 100% of her outstanding unvested time-based equity awards which options shall be exercisable for one (1) year following termination or the remaining term of such option awards, whichever period is shorter, provided that Dr. Buck executes, and does not revoke, a separation agreement and release.</w:t>
      </w:r>
    </w:p>
    <w:p>
      <w:pPr>
        <w:spacing w:after="0" w:line="84"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Mr. Nisco</w:t>
      </w:r>
    </w:p>
    <w:p>
      <w:pPr>
        <w:spacing w:after="0" w:line="117" w:lineRule="exact"/>
        <w:rPr>
          <w:sz w:val="20"/>
          <w:szCs w:val="20"/>
          <w:color w:val="auto"/>
        </w:rPr>
      </w:pPr>
    </w:p>
    <w:p>
      <w:pPr>
        <w:ind w:left="660" w:right="499"/>
        <w:spacing w:after="0" w:line="312" w:lineRule="auto"/>
        <w:rPr>
          <w:sz w:val="20"/>
          <w:szCs w:val="20"/>
          <w:color w:val="auto"/>
        </w:rPr>
      </w:pPr>
      <w:r>
        <w:rPr>
          <w:rFonts w:ascii="Times New Roman" w:cs="Times New Roman" w:eastAsia="Times New Roman" w:hAnsi="Times New Roman"/>
          <w:sz w:val="17"/>
          <w:szCs w:val="17"/>
          <w:color w:val="auto"/>
        </w:rPr>
        <w:t>On June 10, 2025, the Company entered into an amended and restated separation benefits agreement with James Nisco, Senior Vice President Finance and Treasury and Chief Accounting Officer of the Company (the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39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Nisco Amendment</w:t>
      </w:r>
      <w:r>
        <w:rPr>
          <w:rFonts w:ascii="Times New Roman" w:cs="Times New Roman" w:eastAsia="Times New Roman" w:hAnsi="Times New Roman"/>
          <w:sz w:val="18"/>
          <w:szCs w:val="18"/>
          <w:color w:val="auto"/>
        </w:rPr>
        <w:t>”). Pursuant to the Nisco Amendment, during the two (2) year period following a change in control, Mr. Nisco is eligible to receive (i) salary continuation of Mr. Nisco’s then-current base salary for a period of twelve (12) months following termination, (ii) a lump-sum payment equal to 100% of Mr. Nisco’s then annual target bonus, (iii) payment of the monthly premium amount for continued company-subsidized COBRA coverage for a period of twelve (12) months following termination, and (iv) immediate full vesting of 100% of Mr. Nisco’s outstanding unvested equity awards which options shall be exercisable for one (1) year following termination or the remaining term of such option awards, whichever period is shorter, provided that Mr. Nisco executes, and does not revoke, a separation agreement and release.</w:t>
      </w:r>
    </w:p>
    <w:p>
      <w:pPr>
        <w:spacing w:after="0" w:line="81"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Mr. Imam</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10, 2025, the Company entered into an amended and restated separation benefits agreement (the</w:t>
      </w:r>
    </w:p>
    <w:p>
      <w:pPr>
        <w:spacing w:after="0" w:line="27" w:lineRule="exact"/>
        <w:rPr>
          <w:sz w:val="20"/>
          <w:szCs w:val="20"/>
          <w:color w:val="auto"/>
        </w:rPr>
      </w:pPr>
    </w:p>
    <w:p>
      <w:pPr>
        <w:ind w:left="660" w:right="35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Imam Amendment</w:t>
      </w:r>
      <w:r>
        <w:rPr>
          <w:rFonts w:ascii="Times New Roman" w:cs="Times New Roman" w:eastAsia="Times New Roman" w:hAnsi="Times New Roman"/>
          <w:sz w:val="17"/>
          <w:szCs w:val="17"/>
          <w:color w:val="auto"/>
        </w:rPr>
        <w:t>”) with Tariq Imam, Senior Vice President, Business Development and Operations and General Counsel of the Company. Pursuant to the Imam Amendment, during the two (2) year period following a change in control, Mr. Imam is eligible to receive (i) salary continuation of Mr. Imam’s then-current base salary for a period of twelve (12) months following termination, (ii) a lump-sum payment equal to 100% of Mr. Imam’s then annual target bonus, (iii) payment of the monthly premium amount for continued company-subsidized COBRA coverage for a period of twelve (12) months following termination, and (iv) immediate full vesting of 100% of Mr. Imam’s outstanding unvested equity awards which options shall be exercisable for one</w:t>
      </w:r>
    </w:p>
    <w:p>
      <w:pPr>
        <w:spacing w:after="0" w:line="1" w:lineRule="exact"/>
        <w:rPr>
          <w:sz w:val="20"/>
          <w:szCs w:val="20"/>
          <w:color w:val="auto"/>
        </w:rPr>
      </w:pPr>
    </w:p>
    <w:p>
      <w:pPr>
        <w:ind w:left="660" w:right="859" w:hanging="8"/>
        <w:spacing w:after="0" w:line="260" w:lineRule="auto"/>
        <w:tabs>
          <w:tab w:leader="none" w:pos="9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following termination or the remaining term of such option awards, whichever period is shorter, provided that Mr. Imam executes, and does not revoke, a separation agreement and release.</w:t>
      </w:r>
    </w:p>
    <w:p>
      <w:pPr>
        <w:spacing w:after="0" w:line="73" w:lineRule="exact"/>
        <w:rPr>
          <w:sz w:val="20"/>
          <w:szCs w:val="20"/>
          <w:color w:val="auto"/>
        </w:rPr>
      </w:pPr>
    </w:p>
    <w:p>
      <w:pPr>
        <w:ind w:left="660" w:right="319"/>
        <w:spacing w:after="0" w:line="258" w:lineRule="auto"/>
        <w:rPr>
          <w:sz w:val="20"/>
          <w:szCs w:val="20"/>
          <w:color w:val="auto"/>
        </w:rPr>
      </w:pPr>
      <w:r>
        <w:rPr>
          <w:rFonts w:ascii="Times New Roman" w:cs="Times New Roman" w:eastAsia="Times New Roman" w:hAnsi="Times New Roman"/>
          <w:sz w:val="18"/>
          <w:szCs w:val="18"/>
          <w:color w:val="auto"/>
        </w:rPr>
        <w:t>The agreements also include a Section 280G “better off” provision, which provides that, if any amount received by the executive officer pursuant to the agreement or otherwise that would be subject to the excise tax imposed by Section 4999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the executive would receive the full amount of the payments and benefits or an amount reduced so that no portion would be subject to the excise tax, whichever would result in the largest payment to the executive on an after-tax basis.</w:t>
      </w:r>
    </w:p>
    <w:p>
      <w:pPr>
        <w:spacing w:after="0" w:line="75" w:lineRule="exact"/>
        <w:rPr>
          <w:sz w:val="20"/>
          <w:szCs w:val="20"/>
          <w:color w:val="auto"/>
        </w:rPr>
      </w:pPr>
    </w:p>
    <w:p>
      <w:pPr>
        <w:ind w:left="660" w:right="419"/>
        <w:spacing w:after="0" w:line="258" w:lineRule="auto"/>
        <w:rPr>
          <w:sz w:val="20"/>
          <w:szCs w:val="20"/>
          <w:color w:val="auto"/>
        </w:rPr>
      </w:pPr>
      <w:r>
        <w:rPr>
          <w:rFonts w:ascii="Times New Roman" w:cs="Times New Roman" w:eastAsia="Times New Roman" w:hAnsi="Times New Roman"/>
          <w:sz w:val="18"/>
          <w:szCs w:val="18"/>
          <w:color w:val="auto"/>
        </w:rPr>
        <w:t>The approximate aggregate cash consideration payable in respect of such accelerated equity awards in connection with the Offer and the Merger (i.e., In-The-Money Company Stock Options, Company Restricted Stock and Company RSUs) is set forth in the section entitled “</w:t>
      </w:r>
      <w:r>
        <w:rPr>
          <w:rFonts w:ascii="Times New Roman" w:cs="Times New Roman" w:eastAsia="Times New Roman" w:hAnsi="Times New Roman"/>
          <w:sz w:val="18"/>
          <w:szCs w:val="18"/>
          <w:i w:val="1"/>
          <w:iCs w:val="1"/>
          <w:color w:val="auto"/>
        </w:rPr>
        <w:t>Consideration Payable for Outstanding In-The-Money Company Stock Options, Company RSUs and Company Restricted Stock held by Directors and Executive Officers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75" w:lineRule="exact"/>
        <w:rPr>
          <w:sz w:val="20"/>
          <w:szCs w:val="20"/>
          <w:color w:val="auto"/>
        </w:rPr>
      </w:pPr>
    </w:p>
    <w:p>
      <w:pPr>
        <w:ind w:left="660" w:right="359"/>
        <w:spacing w:after="0" w:line="289" w:lineRule="auto"/>
        <w:rPr>
          <w:sz w:val="20"/>
          <w:szCs w:val="20"/>
          <w:color w:val="auto"/>
        </w:rPr>
      </w:pPr>
      <w:r>
        <w:rPr>
          <w:rFonts w:ascii="Times New Roman" w:cs="Times New Roman" w:eastAsia="Times New Roman" w:hAnsi="Times New Roman"/>
          <w:sz w:val="17"/>
          <w:szCs w:val="17"/>
          <w:color w:val="auto"/>
        </w:rPr>
        <w:t>For an estimate of the value of the payments and benefits described above that would be payable to the Company’s executive officers upon an involuntary termination of employment in connection with the Merger (i.e., a Change in Control Termination), see the section below captioned “—</w:t>
      </w:r>
      <w:r>
        <w:rPr>
          <w:rFonts w:ascii="Times New Roman" w:cs="Times New Roman" w:eastAsia="Times New Roman" w:hAnsi="Times New Roman"/>
          <w:sz w:val="17"/>
          <w:szCs w:val="17"/>
          <w:i w:val="1"/>
          <w:iCs w:val="1"/>
          <w:color w:val="auto"/>
        </w:rPr>
        <w:t>Golden Parachute Compensation</w:t>
      </w:r>
      <w:r>
        <w:rPr>
          <w:rFonts w:ascii="Times New Roman" w:cs="Times New Roman" w:eastAsia="Times New Roman" w:hAnsi="Times New Roman"/>
          <w:sz w:val="17"/>
          <w:szCs w:val="17"/>
          <w:color w:val="auto"/>
        </w:rPr>
        <w:t>.”</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Parent Arrangements</w:t>
      </w:r>
    </w:p>
    <w:p>
      <w:pPr>
        <w:spacing w:after="0" w:line="121" w:lineRule="exact"/>
        <w:rPr>
          <w:sz w:val="20"/>
          <w:szCs w:val="20"/>
          <w:color w:val="auto"/>
        </w:rPr>
      </w:pPr>
    </w:p>
    <w:p>
      <w:pPr>
        <w:ind w:left="300" w:right="319"/>
        <w:spacing w:after="0" w:line="271" w:lineRule="auto"/>
        <w:rPr>
          <w:sz w:val="20"/>
          <w:szCs w:val="20"/>
          <w:color w:val="auto"/>
        </w:rPr>
      </w:pPr>
      <w:r>
        <w:rPr>
          <w:rFonts w:ascii="Times New Roman" w:cs="Times New Roman" w:eastAsia="Times New Roman" w:hAnsi="Times New Roman"/>
          <w:sz w:val="17"/>
          <w:szCs w:val="17"/>
          <w:color w:val="auto"/>
        </w:rPr>
        <w:t>As of the date of this Schedule 14D-9, to the Company’s knowledge, no executive officer has had discussions, or entered into any agreement, arrangement, or understanding, with the Surviving Corporation, Parent, or any of their respective affiliates regarding employment with, or the right to purchase or participate in the equity of, the Surviving Corporation, Parent, or any of their respective affiliates. It is possible that continuing employees, including executive officers, will enter into new compensation arrangements with the Surviving Corporation, Parent, or their respective affiliates in connection with the Offer and Merger. Any such arrangements, if any, will not become effective until after the Effective Date, if at all. There can be no assurance that the applicable parties will reach an agreement on any terms, or at all, and neither the Closing nor the Offer or the Merger is conditioned upon any executive officer or director of the Company entering into any such agreement, arrangement or understanding.</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Golden Parachute Compensation</w:t>
      </w:r>
    </w:p>
    <w:p>
      <w:pPr>
        <w:spacing w:after="0" w:line="121" w:lineRule="exact"/>
        <w:rPr>
          <w:sz w:val="20"/>
          <w:szCs w:val="20"/>
          <w:color w:val="auto"/>
        </w:rPr>
      </w:pPr>
    </w:p>
    <w:p>
      <w:pPr>
        <w:ind w:left="300" w:right="359"/>
        <w:spacing w:after="0" w:line="274" w:lineRule="auto"/>
        <w:rPr>
          <w:sz w:val="20"/>
          <w:szCs w:val="20"/>
          <w:color w:val="auto"/>
        </w:rPr>
      </w:pPr>
      <w:r>
        <w:rPr>
          <w:rFonts w:ascii="Times New Roman" w:cs="Times New Roman" w:eastAsia="Times New Roman" w:hAnsi="Times New Roman"/>
          <w:sz w:val="17"/>
          <w:szCs w:val="17"/>
          <w:color w:val="auto"/>
        </w:rPr>
        <w:t>This section sets forth the information required by Item 402(t) of Regulation S-K regarding the compensation that is based on or otherwise related to the Offer and the Merger for each of the Company’s named executive officers. This compensation is referred to as “golden parachute” compensation by the applicable SEC disclosure rules, and in this section such term is used to describe the Merger-related compensation that will or may be payable to the Company’s named executive officers. The amounts set forth in the table below are based on multiple assumptions that may or may not actually prove correct, including assumptions described in the footnotes to the table below. As a result, the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spacing w:after="0" w:line="261" w:lineRule="auto"/>
        <w:rPr>
          <w:sz w:val="20"/>
          <w:szCs w:val="20"/>
          <w:color w:val="auto"/>
        </w:rPr>
      </w:pPr>
      <w:r>
        <w:rPr>
          <w:rFonts w:ascii="Times New Roman" w:cs="Times New Roman" w:eastAsia="Times New Roman" w:hAnsi="Times New Roman"/>
          <w:sz w:val="18"/>
          <w:szCs w:val="18"/>
          <w:color w:val="auto"/>
        </w:rPr>
        <w:t>actual amounts, if any, to be received by a named executive officer in connection with the Merger may differ materially from the amounts set forth below. The terms and conditions of the compensation and benefits set forth below are described in greater detail as set forth above under “</w:t>
      </w:r>
      <w:r>
        <w:rPr>
          <w:rFonts w:ascii="Times New Roman" w:cs="Times New Roman" w:eastAsia="Times New Roman" w:hAnsi="Times New Roman"/>
          <w:sz w:val="18"/>
          <w:szCs w:val="18"/>
          <w:i w:val="1"/>
          <w:iCs w:val="1"/>
          <w:color w:val="auto"/>
        </w:rPr>
        <w:t>-Arrangements Between the Company and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Directors and Affiliates</w:t>
      </w:r>
      <w:r>
        <w:rPr>
          <w:rFonts w:ascii="Times New Roman" w:cs="Times New Roman" w:eastAsia="Times New Roman" w:hAnsi="Times New Roman"/>
          <w:sz w:val="18"/>
          <w:szCs w:val="18"/>
          <w:color w:val="auto"/>
        </w:rPr>
        <w:t>” and such descriptions are incorporated herein by reference.</w:t>
      </w:r>
    </w:p>
    <w:p>
      <w:pPr>
        <w:spacing w:after="0" w:line="72"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table below sets forth, for the purposes of this golden parachute disclosure, the amount of payments and benefits that each of the Company’s named executive officers would receive, assuming that (i) the Effective Time occurred on June 8, 2026 (which is the latest practicable date to determine the amounts set forth in the table below before the filing of this Schedule 14D-9); (ii) the relevant price per Share is $4.00 (which is the Closing Amount), (iii) the Milestones set forth in the CVR Agreement are achieved such that the payment under the CVR for each Share will be $3.00, (iv) the Company Stock Options and Company Restricted Stock outstanding as of June 8, 2026 are cancelled in exchange for the cash payment described above under “</w:t>
      </w:r>
      <w:r>
        <w:rPr>
          <w:rFonts w:ascii="Times New Roman" w:cs="Times New Roman" w:eastAsia="Times New Roman" w:hAnsi="Times New Roman"/>
          <w:sz w:val="18"/>
          <w:szCs w:val="18"/>
          <w:i w:val="1"/>
          <w:iCs w:val="1"/>
          <w:color w:val="auto"/>
        </w:rPr>
        <w:t>-Effect of the Offer and the Merger on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(v) no named executive officer receives any additional equity grants or retention awards on or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Effective Time; (vi) no named executive officer enters into any new agreement with the Company or Parent or one of their respective affiliates or becomes entitled to, prior to the Effective Time, additional compensation or benefits; (vii) each named executive officer experiences a Qualifying Termination immediately upon the Effective Time and receives severance payments and benefits under their respective agreements with the Company, as described in more detail above under “</w:t>
      </w:r>
      <w:r>
        <w:rPr>
          <w:rFonts w:ascii="Times New Roman" w:cs="Times New Roman" w:eastAsia="Times New Roman" w:hAnsi="Times New Roman"/>
          <w:sz w:val="18"/>
          <w:szCs w:val="18"/>
          <w:i w:val="1"/>
          <w:iCs w:val="1"/>
          <w:color w:val="auto"/>
        </w:rPr>
        <w:t>-Executive Severance and Change in Control Agreements</w:t>
      </w:r>
      <w:r>
        <w:rPr>
          <w:rFonts w:ascii="Times New Roman" w:cs="Times New Roman" w:eastAsia="Times New Roman" w:hAnsi="Times New Roman"/>
          <w:sz w:val="18"/>
          <w:szCs w:val="18"/>
          <w:color w:val="auto"/>
        </w:rPr>
        <w:t>”; and (viii) the named executive officers’ base salaries and target annual bonus opportunities will remain unchanged from those in place as of June 8, 2026.</w:t>
      </w:r>
    </w:p>
    <w:p>
      <w:pPr>
        <w:spacing w:after="0" w:line="88"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table below also excludes any payments or benefits that would have been earned, or any amounts associated with Company Stock Options or Company Restricted Stock that would vest or settle according to their terms on or prior to the Effective Time and irrespective of the Merger. The values and descriptions also (i) do not reflect amounts under contracts, agreements, plans, or arrangements to the extent that they do not discriminate in scope, terms, or operation in favor of the named executive officers and that are generally available to all salaried employees of the Company, including accrued and unused paid time off (ii) do not reflect applicable tax withholdings that are applicable to any of the payments set forth in the table, and (iii) assumes that no payments are subject to reduction to the extent required by the terms of the applicable agreement to account for the application of Sections 280G and 4999 of the Code to such payments.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Potential Change in Control Payments to Named Executive Officers</w:t>
      </w: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3"/>
                <w:szCs w:val="13"/>
                <w:color w:val="auto"/>
              </w:rPr>
            </w:pPr>
          </w:p>
        </w:tc>
        <w:tc>
          <w:tcPr>
            <w:tcW w:w="7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Cash</w:t>
            </w:r>
          </w:p>
        </w:tc>
        <w:tc>
          <w:tcPr>
            <w:tcW w:w="1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60" w:type="dxa"/>
            <w:vAlign w:val="bottom"/>
          </w:tcPr>
          <w:p>
            <w:pPr>
              <w:spacing w:after="0"/>
              <w:rPr>
                <w:sz w:val="13"/>
                <w:szCs w:val="13"/>
                <w:color w:val="auto"/>
              </w:rPr>
            </w:pPr>
          </w:p>
        </w:tc>
        <w:tc>
          <w:tcPr>
            <w:tcW w:w="7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auto"/>
            </w:tcBorders>
          </w:tcPr>
          <w:p>
            <w:pPr>
              <w:jc w:val="right"/>
              <w:ind w:right="156"/>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1"/>
                <w:szCs w:val="11"/>
                <w:b w:val="1"/>
                <w:bCs w:val="1"/>
                <w:color w:val="auto"/>
              </w:rPr>
              <w:t>(1)</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9"/>
                <w:vertAlign w:val="subscript"/>
              </w:rPr>
              <w:t>($)</w:t>
            </w:r>
            <w:r>
              <w:rPr>
                <w:rFonts w:ascii="Times New Roman" w:cs="Times New Roman" w:eastAsia="Times New Roman" w:hAnsi="Times New Roman"/>
                <w:sz w:val="11"/>
                <w:szCs w:val="11"/>
                <w:b w:val="1"/>
                <w:bCs w:val="1"/>
                <w:color w:val="auto"/>
                <w:w w:val="99"/>
              </w:rPr>
              <w:t>(2)</w:t>
            </w:r>
          </w:p>
        </w:tc>
        <w:tc>
          <w:tcPr>
            <w:tcW w:w="160" w:type="dxa"/>
            <w:vAlign w:val="bottom"/>
          </w:tcPr>
          <w:p>
            <w:pPr>
              <w:spacing w:after="0"/>
              <w:rPr>
                <w:sz w:val="18"/>
                <w:szCs w:val="18"/>
                <w:color w:val="auto"/>
              </w:rPr>
            </w:pPr>
          </w:p>
        </w:tc>
        <w:tc>
          <w:tcPr>
            <w:tcW w:w="5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(3)</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ind w:right="156"/>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1"/>
                <w:szCs w:val="11"/>
                <w:b w:val="1"/>
                <w:bCs w:val="1"/>
                <w:color w:val="auto"/>
              </w:rPr>
              <w:t>(4)</w:t>
            </w: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Mazzo, Ph.D.</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1,667,557</w:t>
            </w:r>
          </w:p>
        </w:tc>
        <w:tc>
          <w:tcPr>
            <w:tcW w:w="7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574,710</w:t>
            </w:r>
          </w:p>
        </w:tc>
        <w:tc>
          <w:tcPr>
            <w:tcW w:w="6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63,984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2,306,251</w:t>
            </w: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Kristen K. Buck, M.D.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1,123,766</w:t>
            </w:r>
          </w:p>
        </w:tc>
        <w:tc>
          <w:tcPr>
            <w:tcW w:w="7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176,313</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25,990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1,326,069</w:t>
            </w: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Nisco</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95,274</w:t>
            </w:r>
          </w:p>
        </w:tc>
        <w:tc>
          <w:tcPr>
            <w:tcW w:w="6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54,550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622,324</w:t>
            </w:r>
          </w:p>
        </w:tc>
        <w:tc>
          <w:tcPr>
            <w:tcW w:w="0" w:type="dxa"/>
            <w:vAlign w:val="bottom"/>
          </w:tcPr>
          <w:p>
            <w:pPr>
              <w:spacing w:after="0"/>
              <w:rPr>
                <w:sz w:val="1"/>
                <w:szCs w:val="1"/>
                <w:color w:val="auto"/>
              </w:rPr>
            </w:pPr>
          </w:p>
        </w:tc>
      </w:tr>
      <w:tr>
        <w:trPr>
          <w:trHeight w:val="54"/>
        </w:trPr>
        <w:tc>
          <w:tcPr>
            <w:tcW w:w="51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1" w:lineRule="exact"/>
        <w:rPr>
          <w:sz w:val="20"/>
          <w:szCs w:val="20"/>
          <w:color w:val="auto"/>
        </w:rPr>
      </w:pPr>
    </w:p>
    <w:p>
      <w:pPr>
        <w:ind w:left="640" w:right="359" w:hanging="348"/>
        <w:spacing w:after="0" w:line="227"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value of (i) in the case of Dr. Mazzo, severance payments equal to Dr. Mazzo’s then-current base salary for a period of eighteen (18) months following termination and a bonus payment in the form of a lump sum equal to 150% of Dr. Mazzo’s then-current target annual bonus, (ii) in the case of Dr. Buck severance payments equal to Dr. Buck’s then-current base salary for a period of 15 months following termination and a bonus payment in the form of a lump sum equal to 125% of Dr. Buck’s then-current target annual bonus, and (iii) in the case of Mr. Nisco, severance payments equal to Mr. Nisco’s then-current base salary for a period of twelve (12) months following termination and a bonus payment in the form of a lump sum equal to 100% of Mr. Nisco’s then-current target annual bonus, each as described above in the section captioned “—</w:t>
      </w:r>
      <w:r>
        <w:rPr>
          <w:rFonts w:ascii="Times New Roman" w:cs="Times New Roman" w:eastAsia="Times New Roman" w:hAnsi="Times New Roman"/>
          <w:sz w:val="14"/>
          <w:szCs w:val="14"/>
          <w:i w:val="1"/>
          <w:iCs w:val="1"/>
          <w:color w:val="auto"/>
        </w:rPr>
        <w:t>Executive Severance and Change in Control Agreements</w:t>
      </w:r>
      <w:r>
        <w:rPr>
          <w:rFonts w:ascii="Times New Roman" w:cs="Times New Roman" w:eastAsia="Times New Roman" w:hAnsi="Times New Roman"/>
          <w:sz w:val="14"/>
          <w:szCs w:val="14"/>
          <w:color w:val="auto"/>
        </w:rPr>
        <w:t>” and based on the assumptions set forth above. The following table shows, for each named executive officer, as applicable, the amount of each component part of these cash payments. These amounts are all “double-trigger” in nature, i.e., eligibility to receive these amounts requires both the occurrence of a change in control and a Qualifying Termination of employment that occurs within two (2) years following a change in control transaction.</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w:t>
            </w:r>
          </w:p>
        </w:tc>
        <w:tc>
          <w:tcPr>
            <w:tcW w:w="2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2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240" w:type="dxa"/>
            <w:vAlign w:val="bottom"/>
          </w:tcPr>
          <w:p>
            <w:pPr>
              <w:spacing w:after="0"/>
              <w:rPr>
                <w:sz w:val="12"/>
                <w:szCs w:val="12"/>
                <w:color w:val="auto"/>
              </w:rPr>
            </w:pPr>
          </w:p>
        </w:tc>
        <w:tc>
          <w:tcPr>
            <w:tcW w:w="7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2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980" w:type="dxa"/>
            <w:vAlign w:val="bottom"/>
            <w:vMerge w:val="continue"/>
          </w:tcPr>
          <w:p>
            <w:pPr>
              <w:spacing w:after="0"/>
              <w:rPr>
                <w:sz w:val="16"/>
                <w:szCs w:val="16"/>
                <w:color w:val="auto"/>
              </w:rPr>
            </w:pPr>
          </w:p>
        </w:tc>
        <w:tc>
          <w:tcPr>
            <w:tcW w:w="960" w:type="dxa"/>
            <w:vAlign w:val="bottom"/>
            <w:gridSpan w:val="2"/>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40" w:type="dxa"/>
            <w:vAlign w:val="bottom"/>
            <w:gridSpan w:val="2"/>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Mazzo, Ph.D.</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1,075,844</w:t>
            </w:r>
          </w:p>
        </w:tc>
        <w:tc>
          <w:tcPr>
            <w:tcW w:w="1140" w:type="dxa"/>
            <w:vAlign w:val="bottom"/>
            <w:gridSpan w:val="2"/>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99"/>
              </w:rPr>
              <w:t>591,714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1,667,557</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Kristen K. Buck, M.D.</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749,178</w:t>
            </w:r>
          </w:p>
        </w:tc>
        <w:tc>
          <w:tcPr>
            <w:tcW w:w="114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color w:val="auto"/>
                <w:w w:val="99"/>
              </w:rPr>
              <w:t>374,589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1,123,766</w:t>
            </w:r>
          </w:p>
        </w:tc>
        <w:tc>
          <w:tcPr>
            <w:tcW w:w="0" w:type="dxa"/>
            <w:vAlign w:val="bottom"/>
          </w:tcPr>
          <w:p>
            <w:pPr>
              <w:spacing w:after="0"/>
              <w:rPr>
                <w:sz w:val="1"/>
                <w:szCs w:val="1"/>
                <w:color w:val="auto"/>
              </w:rPr>
            </w:pPr>
          </w:p>
        </w:tc>
      </w:tr>
      <w:tr>
        <w:trPr>
          <w:trHeight w:val="238"/>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Nisco</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140" w:type="dxa"/>
            <w:vAlign w:val="bottom"/>
            <w:gridSpan w:val="2"/>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99"/>
              </w:rPr>
              <w:t>122,500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472,500</w:t>
            </w:r>
          </w:p>
        </w:tc>
        <w:tc>
          <w:tcPr>
            <w:tcW w:w="0" w:type="dxa"/>
            <w:vAlign w:val="bottom"/>
          </w:tcPr>
          <w:p>
            <w:pPr>
              <w:spacing w:after="0"/>
              <w:rPr>
                <w:sz w:val="1"/>
                <w:szCs w:val="1"/>
                <w:color w:val="auto"/>
              </w:rPr>
            </w:pPr>
          </w:p>
        </w:tc>
      </w:tr>
      <w:tr>
        <w:trPr>
          <w:trHeight w:val="54"/>
        </w:trPr>
        <w:tc>
          <w:tcPr>
            <w:tcW w:w="49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359" w:hanging="348"/>
        <w:spacing w:after="0" w:line="24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estimated values associated with the full value of unvested In-The-Money Company Stock Options, which are being cashed out in connection with the Merger, and the value of shares of Company Restricted Stock which are being cashed out in connection with the Merger, with each being treated as described above in the section captioned “—</w:t>
      </w:r>
      <w:r>
        <w:rPr>
          <w:rFonts w:ascii="Times New Roman" w:cs="Times New Roman" w:eastAsia="Times New Roman" w:hAnsi="Times New Roman"/>
          <w:sz w:val="14"/>
          <w:szCs w:val="14"/>
          <w:i w:val="1"/>
          <w:iCs w:val="1"/>
          <w:color w:val="auto"/>
        </w:rPr>
        <w:t>Effect of the Offer and the Merger on Company Equity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3" w:lineRule="exact"/>
        <w:rPr>
          <w:sz w:val="20"/>
          <w:szCs w:val="20"/>
          <w:color w:val="auto"/>
        </w:rPr>
      </w:pPr>
    </w:p>
    <w:p>
      <w:pPr>
        <w:ind w:left="660" w:right="319"/>
        <w:spacing w:after="0" w:line="236" w:lineRule="auto"/>
        <w:rPr>
          <w:sz w:val="20"/>
          <w:szCs w:val="20"/>
          <w:color w:val="auto"/>
        </w:rPr>
      </w:pPr>
      <w:r>
        <w:rPr>
          <w:rFonts w:ascii="Times New Roman" w:cs="Times New Roman" w:eastAsia="Times New Roman" w:hAnsi="Times New Roman"/>
          <w:sz w:val="14"/>
          <w:szCs w:val="14"/>
          <w:i w:val="1"/>
          <w:iCs w:val="1"/>
          <w:color w:val="auto"/>
        </w:rPr>
        <w:t>Awards</w:t>
      </w:r>
      <w:r>
        <w:rPr>
          <w:rFonts w:ascii="Times New Roman" w:cs="Times New Roman" w:eastAsia="Times New Roman" w:hAnsi="Times New Roman"/>
          <w:sz w:val="14"/>
          <w:szCs w:val="14"/>
          <w:color w:val="auto"/>
        </w:rPr>
        <w:t>” and based on the assumptions set forth above. In accordance with Item 402(t) of Regulation S-K, such values have been calculated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using the Offer Price and assume the timely satisfaction of the Milestones under the CVR Agreement. Pursuant to the Merger Agreement, all outstanding Company equity awards as of the Effective Time will be fully accelerated and cashed-out or cancelled in connection with the Merger. Accordingly, these amounts are “single-trigger” in nature.</w:t>
      </w:r>
    </w:p>
    <w:p>
      <w:pPr>
        <w:spacing w:after="0" w:line="19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20" w:type="dxa"/>
            <w:vAlign w:val="bottom"/>
          </w:tcPr>
          <w:p>
            <w:pPr>
              <w:spacing w:after="0"/>
              <w:rPr>
                <w:sz w:val="12"/>
                <w:szCs w:val="12"/>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Unvested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In-the-Money</w:t>
            </w:r>
          </w:p>
        </w:tc>
        <w:tc>
          <w:tcPr>
            <w:tcW w:w="12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 Stock</w:t>
            </w:r>
          </w:p>
        </w:tc>
        <w:tc>
          <w:tcPr>
            <w:tcW w:w="12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Company Restricted</w:t>
            </w:r>
          </w:p>
        </w:tc>
        <w:tc>
          <w:tcPr>
            <w:tcW w:w="10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140" w:type="dxa"/>
            <w:vAlign w:val="bottom"/>
            <w:vMerge w:val="continue"/>
          </w:tcPr>
          <w:p>
            <w:pPr>
              <w:spacing w:after="0"/>
              <w:rPr>
                <w:sz w:val="16"/>
                <w:szCs w:val="16"/>
                <w:color w:val="auto"/>
              </w:rPr>
            </w:pPr>
          </w:p>
        </w:tc>
        <w:tc>
          <w:tcPr>
            <w:tcW w:w="1200" w:type="dxa"/>
            <w:vAlign w:val="bottom"/>
            <w:gridSpan w:val="2"/>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gridSpan w:val="2"/>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Mazzo, Ph.D.</w:t>
            </w:r>
          </w:p>
        </w:tc>
        <w:tc>
          <w:tcPr>
            <w:tcW w:w="120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75,710</w:t>
            </w:r>
          </w:p>
        </w:tc>
        <w:tc>
          <w:tcPr>
            <w:tcW w:w="2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499,000</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574,710</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Kristen K. Buck, M.D.</w:t>
            </w:r>
          </w:p>
        </w:tc>
        <w:tc>
          <w:tcPr>
            <w:tcW w:w="1200" w:type="dxa"/>
            <w:vAlign w:val="bottom"/>
            <w:gridSpan w:val="2"/>
          </w:tcPr>
          <w:p>
            <w:pPr>
              <w:jc w:val="center"/>
              <w:ind w:left="15"/>
              <w:spacing w:after="0"/>
              <w:rPr>
                <w:sz w:val="20"/>
                <w:szCs w:val="20"/>
                <w:color w:val="auto"/>
              </w:rPr>
            </w:pPr>
            <w:r>
              <w:rPr>
                <w:rFonts w:ascii="Times New Roman" w:cs="Times New Roman" w:eastAsia="Times New Roman" w:hAnsi="Times New Roman"/>
                <w:sz w:val="18"/>
                <w:szCs w:val="18"/>
                <w:color w:val="auto"/>
              </w:rPr>
              <w:t>24,313</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152,000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176,313</w:t>
            </w:r>
          </w:p>
        </w:tc>
        <w:tc>
          <w:tcPr>
            <w:tcW w:w="0" w:type="dxa"/>
            <w:vAlign w:val="bottom"/>
          </w:tcPr>
          <w:p>
            <w:pPr>
              <w:spacing w:after="0"/>
              <w:rPr>
                <w:sz w:val="1"/>
                <w:szCs w:val="1"/>
                <w:color w:val="auto"/>
              </w:rPr>
            </w:pPr>
          </w:p>
        </w:tc>
      </w:tr>
      <w:tr>
        <w:trPr>
          <w:trHeight w:val="238"/>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Nisco</w:t>
            </w:r>
          </w:p>
        </w:tc>
        <w:tc>
          <w:tcPr>
            <w:tcW w:w="120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12,278</w:t>
            </w:r>
          </w:p>
        </w:tc>
        <w:tc>
          <w:tcPr>
            <w:tcW w:w="200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82,996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95,274</w:t>
            </w:r>
          </w:p>
        </w:tc>
        <w:tc>
          <w:tcPr>
            <w:tcW w:w="0" w:type="dxa"/>
            <w:vAlign w:val="bottom"/>
          </w:tcPr>
          <w:p>
            <w:pPr>
              <w:spacing w:after="0"/>
              <w:rPr>
                <w:sz w:val="1"/>
                <w:szCs w:val="1"/>
                <w:color w:val="auto"/>
              </w:rPr>
            </w:pPr>
          </w:p>
        </w:tc>
      </w:tr>
      <w:tr>
        <w:trPr>
          <w:trHeight w:val="54"/>
        </w:trPr>
        <w:tc>
          <w:tcPr>
            <w:tcW w:w="4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439" w:hanging="348"/>
        <w:spacing w:after="0" w:line="227"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cost of the aggregate monthly payments to each named executive officer relating to employer health insurance contribution payments, as provided in the agreements related to severance and change in control, as described above in the section captioned “—</w:t>
      </w:r>
      <w:r>
        <w:rPr>
          <w:rFonts w:ascii="Times New Roman" w:cs="Times New Roman" w:eastAsia="Times New Roman" w:hAnsi="Times New Roman"/>
          <w:sz w:val="14"/>
          <w:szCs w:val="14"/>
          <w:i w:val="1"/>
          <w:iCs w:val="1"/>
          <w:color w:val="auto"/>
        </w:rPr>
        <w:t>Executive Severance and Change in Control Agreements.</w:t>
      </w:r>
      <w:r>
        <w:rPr>
          <w:rFonts w:ascii="Times New Roman" w:cs="Times New Roman" w:eastAsia="Times New Roman" w:hAnsi="Times New Roman"/>
          <w:sz w:val="14"/>
          <w:szCs w:val="14"/>
          <w:color w:val="auto"/>
        </w:rPr>
        <w:t>” The following table shows, for each named executive officer, the amount of the health insurance contribution payment reimbursable by Lisata. These amounts are all “double-trigger” in nature,</w:t>
      </w:r>
    </w:p>
    <w:p>
      <w:pPr>
        <w:ind w:left="640" w:right="49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i.e., eligibility to receive these amounts requires both the occurrence of a change in control and a Qualifying Termination of employment that occurs within two (2) years following a change in control transaction.</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COBRA Premiums</w:t>
            </w:r>
          </w:p>
        </w:tc>
        <w:tc>
          <w:tcPr>
            <w:tcW w:w="0" w:type="dxa"/>
            <w:vAlign w:val="bottom"/>
          </w:tcPr>
          <w:p>
            <w:pPr>
              <w:spacing w:after="0"/>
              <w:rPr>
                <w:sz w:val="1"/>
                <w:szCs w:val="1"/>
                <w:color w:val="auto"/>
              </w:rPr>
            </w:pPr>
          </w:p>
        </w:tc>
      </w:tr>
      <w:tr>
        <w:trPr>
          <w:trHeight w:val="190"/>
        </w:trPr>
        <w:tc>
          <w:tcPr>
            <w:tcW w:w="6480" w:type="dxa"/>
            <w:vAlign w:val="bottom"/>
            <w:vMerge w:val="continue"/>
          </w:tcPr>
          <w:p>
            <w:pPr>
              <w:spacing w:after="0"/>
              <w:rPr>
                <w:sz w:val="16"/>
                <w:szCs w:val="16"/>
                <w:color w:val="auto"/>
              </w:rPr>
            </w:pPr>
          </w:p>
        </w:tc>
        <w:tc>
          <w:tcPr>
            <w:tcW w:w="1580" w:type="dxa"/>
            <w:vAlign w:val="bottom"/>
            <w:gridSpan w:val="2"/>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6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Mazzo, Ph.D.</w:t>
            </w:r>
          </w:p>
        </w:tc>
        <w:tc>
          <w:tcPr>
            <w:tcW w:w="15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6"/>
              </w:rPr>
              <w:t>63,984</w:t>
            </w: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Kristen K. Buck, M.D.</w:t>
            </w:r>
          </w:p>
        </w:tc>
        <w:tc>
          <w:tcPr>
            <w:tcW w:w="1580" w:type="dxa"/>
            <w:vAlign w:val="bottom"/>
            <w:gridSpan w:val="2"/>
          </w:tcPr>
          <w:p>
            <w:pPr>
              <w:jc w:val="center"/>
              <w:ind w:left="15"/>
              <w:spacing w:after="0"/>
              <w:rPr>
                <w:sz w:val="20"/>
                <w:szCs w:val="20"/>
                <w:color w:val="auto"/>
              </w:rPr>
            </w:pPr>
            <w:r>
              <w:rPr>
                <w:rFonts w:ascii="Times New Roman" w:cs="Times New Roman" w:eastAsia="Times New Roman" w:hAnsi="Times New Roman"/>
                <w:sz w:val="18"/>
                <w:szCs w:val="18"/>
                <w:color w:val="auto"/>
                <w:w w:val="96"/>
              </w:rPr>
              <w:t>25,990</w:t>
            </w:r>
          </w:p>
        </w:tc>
        <w:tc>
          <w:tcPr>
            <w:tcW w:w="0" w:type="dxa"/>
            <w:vAlign w:val="bottom"/>
          </w:tcPr>
          <w:p>
            <w:pPr>
              <w:spacing w:after="0"/>
              <w:rPr>
                <w:sz w:val="1"/>
                <w:szCs w:val="1"/>
                <w:color w:val="auto"/>
              </w:rPr>
            </w:pPr>
          </w:p>
        </w:tc>
      </w:tr>
      <w:tr>
        <w:trPr>
          <w:trHeight w:val="238"/>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Nisco</w:t>
            </w:r>
          </w:p>
        </w:tc>
        <w:tc>
          <w:tcPr>
            <w:tcW w:w="15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6"/>
              </w:rPr>
              <w:t>54,550</w:t>
            </w:r>
          </w:p>
        </w:tc>
        <w:tc>
          <w:tcPr>
            <w:tcW w:w="0" w:type="dxa"/>
            <w:vAlign w:val="bottom"/>
          </w:tcPr>
          <w:p>
            <w:pPr>
              <w:spacing w:after="0"/>
              <w:rPr>
                <w:sz w:val="1"/>
                <w:szCs w:val="1"/>
                <w:color w:val="auto"/>
              </w:rPr>
            </w:pPr>
          </w:p>
        </w:tc>
      </w:tr>
      <w:tr>
        <w:trPr>
          <w:trHeight w:val="54"/>
        </w:trPr>
        <w:tc>
          <w:tcPr>
            <w:tcW w:w="6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399" w:hanging="348"/>
        <w:spacing w:after="0" w:line="236"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agreements related to severance and change in control, amounts are subject to reduction in the event the applicable named executive officer would receive a greater benefit on an after-tax basis by having some of his change in control-related payments and benefits being cut back rather than paying the excise tax under Section 4999 of the Code on such amounts. These amounts assume no such reduction is applied.</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Arrangements Following the Merger</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Parent has agreed that for a period of twelve (12) months following the Effective Time, Parent will provide, or cause to be provided, to each employee of the Company or its subsidiaries who continues employment with Parent, the Surviving Corporation, or any subsidiary of Parent or the Surviving Corporation following the Effective Time (each, a “</w:t>
      </w:r>
      <w:r>
        <w:rPr>
          <w:rFonts w:ascii="Times New Roman" w:cs="Times New Roman" w:eastAsia="Times New Roman" w:hAnsi="Times New Roman"/>
          <w:sz w:val="18"/>
          <w:szCs w:val="18"/>
          <w:b w:val="1"/>
          <w:bCs w:val="1"/>
          <w:color w:val="auto"/>
        </w:rPr>
        <w:t>Continuing Employee</w:t>
      </w:r>
      <w:r>
        <w:rPr>
          <w:rFonts w:ascii="Times New Roman" w:cs="Times New Roman" w:eastAsia="Times New Roman" w:hAnsi="Times New Roman"/>
          <w:sz w:val="18"/>
          <w:szCs w:val="18"/>
          <w:color w:val="auto"/>
        </w:rPr>
        <w:t>”) with (i) base salary or hourly wage rate and target annual cash incentive opportunities that are no less favorable than those provided to each such Continuing Employee as of immediately prior to the Effective Time and (ii) employee benefits (excluding any defined benefit pension, nonqualified deferred compensation, retiree or post-termination health or welfare benefit, equity or equity-based compensation, retention benefits, special one-time awards, long-term incentive, employee stock purchase plans and other similar benefits or change in control-related compensation or benefits, other than the Company’s Severance Plan, dated June 10, 2025, as amended and/or restated from time to time) that are substantially comparable, in the aggregate, to those provided to similarly situated employees of Parent.</w:t>
      </w:r>
    </w:p>
    <w:p>
      <w:pPr>
        <w:spacing w:after="0" w:line="84"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After closing, Parent will use commercially reasonable efforts to recognize each Continuing Employee’s prior service for eligibility and vesting under comparable benefit plans (subject to no duplication and excluding certain plans). It will also seek to ensure welfare plans waive pre-existing condition limits and give credit for prior-year deductibles and co-pays to the extent recognized under the Company’s plans.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 and Insurance</w:t>
      </w:r>
    </w:p>
    <w:p>
      <w:pPr>
        <w:spacing w:after="0" w:line="12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Under Sections 102(b)(7) and 145 of DGCL, the Company has broad powers to limit the personal liability of its directors and officers and to indemnify its directors and officers against liabilities they may incur in such capacities, respectively.</w:t>
      </w:r>
    </w:p>
    <w:p>
      <w:pPr>
        <w:spacing w:after="0" w:line="64" w:lineRule="exact"/>
        <w:rPr>
          <w:sz w:val="20"/>
          <w:szCs w:val="20"/>
          <w:color w:val="auto"/>
        </w:rPr>
      </w:pPr>
    </w:p>
    <w:p>
      <w:pPr>
        <w:ind w:left="300" w:right="479"/>
        <w:spacing w:after="0" w:line="257" w:lineRule="auto"/>
        <w:rPr>
          <w:sz w:val="20"/>
          <w:szCs w:val="20"/>
          <w:color w:val="auto"/>
        </w:rPr>
      </w:pPr>
      <w:r>
        <w:rPr>
          <w:rFonts w:ascii="Times New Roman" w:cs="Times New Roman" w:eastAsia="Times New Roman" w:hAnsi="Times New Roman"/>
          <w:sz w:val="18"/>
          <w:szCs w:val="18"/>
          <w:color w:val="auto"/>
        </w:rPr>
        <w:t>As permitted by the DGCL, the Company’s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includes provisions that eliminate the liability of the Company’s directors for monetary damages for breach of fiduciary duty, provided that it shall not be eliminated or limit the liability of a director (i) for any breach of the director’s duty of loyalty to the corporation or its stockholders; (ii) for acts or omissions not in good faith or which involve intentional misconduct or a knowing violation of law; (iii) under section 174 of Title 8 of the Delaware Code, or (iv) for any transaction from which the director derived an improper personal benefit.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Additionally, the Company has also entered into indemnification agreements with each of its directors and executive officers (the “</w:t>
      </w:r>
      <w:r>
        <w:rPr>
          <w:rFonts w:ascii="Times New Roman" w:cs="Times New Roman" w:eastAsia="Times New Roman" w:hAnsi="Times New Roman"/>
          <w:sz w:val="18"/>
          <w:szCs w:val="18"/>
          <w:b w:val="1"/>
          <w:bCs w:val="1"/>
          <w:color w:val="auto"/>
        </w:rPr>
        <w:t>Indemnification Agreements</w:t>
      </w:r>
      <w:r>
        <w:rPr>
          <w:rFonts w:ascii="Times New Roman" w:cs="Times New Roman" w:eastAsia="Times New Roman" w:hAnsi="Times New Roman"/>
          <w:sz w:val="18"/>
          <w:szCs w:val="18"/>
          <w:color w:val="auto"/>
        </w:rPr>
        <w:t>”). These agreements provide that the Company will indemnify each of its directors and such officers to the fullest extent permitted by law and the Charter and Bylaws. The foregoing summary of the Indemnification Agreements is qualified in its entirety by the full text of the Form of Indemnification Agreement, which is filed as Exhibit (e)(13) to this Schedule 14D-9 and is incorporated herein by reference.</w:t>
      </w:r>
    </w:p>
    <w:p>
      <w:pPr>
        <w:spacing w:after="0" w:line="79" w:lineRule="exact"/>
        <w:rPr>
          <w:sz w:val="20"/>
          <w:szCs w:val="20"/>
          <w:color w:val="auto"/>
        </w:rPr>
      </w:pPr>
    </w:p>
    <w:p>
      <w:pPr>
        <w:ind w:left="300" w:right="479"/>
        <w:spacing w:after="0" w:line="312" w:lineRule="auto"/>
        <w:rPr>
          <w:sz w:val="20"/>
          <w:szCs w:val="20"/>
          <w:color w:val="auto"/>
        </w:rPr>
      </w:pPr>
      <w:r>
        <w:rPr>
          <w:rFonts w:ascii="Times New Roman" w:cs="Times New Roman" w:eastAsia="Times New Roman" w:hAnsi="Times New Roman"/>
          <w:sz w:val="17"/>
          <w:szCs w:val="17"/>
          <w:color w:val="auto"/>
        </w:rPr>
        <w:t>The Company also maintains a general liability insurance policy, which covers certain liabilities of directors and officers of the Company arising out of claims based on acts or omissions in their capacities as directors or officers.</w:t>
      </w:r>
    </w:p>
    <w:p>
      <w:pPr>
        <w:spacing w:after="0" w:line="32" w:lineRule="exact"/>
        <w:rPr>
          <w:sz w:val="20"/>
          <w:szCs w:val="20"/>
          <w:color w:val="auto"/>
        </w:rPr>
      </w:pPr>
    </w:p>
    <w:p>
      <w:pPr>
        <w:ind w:left="300" w:right="359"/>
        <w:spacing w:after="0" w:line="236" w:lineRule="auto"/>
        <w:rPr>
          <w:sz w:val="20"/>
          <w:szCs w:val="20"/>
          <w:color w:val="auto"/>
        </w:rPr>
      </w:pPr>
      <w:r>
        <w:rPr>
          <w:rFonts w:ascii="Times New Roman" w:cs="Times New Roman" w:eastAsia="Times New Roman" w:hAnsi="Times New Roman"/>
          <w:sz w:val="18"/>
          <w:szCs w:val="18"/>
          <w:color w:val="auto"/>
        </w:rPr>
        <w:t>Pursuant to the terms of the Merger Agreement, the Company’s directors and executive officers will be entitled to certain ongoing indemnification and coverage under directors’ and officers’ liability insurance policies from Parent and the Surviving Corporation. The Merger Agreement provides that the Company may purchase prior to the Effective Time, and if the Company does not purchase prior to the Effective Time, the Surviving Corporation will purchase at or after the Effective Time, a tail policy under the current directors’ and officers’ liability insurance policies maintained at such time by the Company, which (i) will be effective until the sixth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Time with respect to claims arising from facts or events that existed or occurred prior to or at the Effective Time and (ii) will contain coverage that is at least as protective to such directors and officers as the coverage provided by such existing policies, provided, that, the annual premium for such tail policy may not exceed</w:t>
      </w:r>
    </w:p>
    <w:p>
      <w:pPr>
        <w:spacing w:after="0" w:line="6"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three hundred and fifty percent (350%) of the last annual premium paid prior to the Effective Time. If the aggregate premium of such insurance policies exceeds such amount then the Company may, and the Surviving Corporation will, purchase a tail policy with the greatest amount of coverage as is available at a cost up to, but not exceeding, three hundred and fifty percent (350%) of the last annual premium paid prior to the Effective Time. Parent will cause the Surviving Corporation to maintain any and all such policies in full force and effect for their full term, and continue to honor the obligations thereunder.</w:t>
      </w:r>
    </w:p>
    <w:p>
      <w:pPr>
        <w:spacing w:after="0" w:line="82"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all rights to indemnification, advancement of expenses and exculpation by the Company existing as of the date of the Merger Agreement in favor of the current and former directors and officers of the Company for their acts and omissions occurring prior to the Effective Time, as provided in the Charter, the Bylaws and the Indemnification Agreements, shall not be amended, repealed or otherwise modified in any manner that would affect the indemnification rights thereunder, except as required by applicable law, and the Surviving Corporation will observe, honor and fulfill such rights to the fullest extent available under the DGCL for a period of six (6) years from the Effective Time, and any claim made requesting indemnification pursuant to such indemnification rights within such six (6) year period will continue to be subject to the Merger Agreement and the indemnification rights provided under the Merger Agreement until disposition of such claim.</w:t>
      </w:r>
    </w:p>
    <w:p>
      <w:pPr>
        <w:spacing w:after="0" w:line="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following the Effective Time, Parent or the Surviving Corporation or any of their respective successors or assigns</w:t>
      </w:r>
    </w:p>
    <w:p>
      <w:pPr>
        <w:spacing w:after="0" w:line="27" w:lineRule="exact"/>
        <w:rPr>
          <w:sz w:val="20"/>
          <w:szCs w:val="20"/>
          <w:color w:val="auto"/>
        </w:rPr>
      </w:pPr>
    </w:p>
    <w:p>
      <w:pPr>
        <w:ind w:left="300" w:right="659" w:hanging="8"/>
        <w:spacing w:after="0" w:line="273" w:lineRule="auto"/>
        <w:tabs>
          <w:tab w:leader="none" w:pos="5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consolidates with or merges into any other person and will not be the continuing or surviving corporation or entity of such consolidation or merger or (ii) transfers all or a majority of its properties and assets to any Person, then, and in each such case, Parent will ensure that the successors and assigns of Parent or the Surviving Corporation, as the case may be, will assume the insurance and indemnification obligations described above.</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16 Matters</w:t>
      </w:r>
    </w:p>
    <w:p>
      <w:pPr>
        <w:spacing w:after="0" w:line="121" w:lineRule="exact"/>
        <w:rPr>
          <w:sz w:val="20"/>
          <w:szCs w:val="20"/>
          <w:color w:val="auto"/>
        </w:rPr>
      </w:pPr>
    </w:p>
    <w:p>
      <w:pPr>
        <w:ind w:left="300" w:right="519"/>
        <w:spacing w:after="0" w:line="255" w:lineRule="auto"/>
        <w:rPr>
          <w:sz w:val="20"/>
          <w:szCs w:val="20"/>
          <w:color w:val="auto"/>
        </w:rPr>
      </w:pPr>
      <w:r>
        <w:rPr>
          <w:rFonts w:ascii="Times New Roman" w:cs="Times New Roman" w:eastAsia="Times New Roman" w:hAnsi="Times New Roman"/>
          <w:sz w:val="18"/>
          <w:szCs w:val="18"/>
          <w:color w:val="auto"/>
        </w:rPr>
        <w:t>Prior to the date and time at which Purchaser accepts for payment such number of Shares validly tendered and not validly withdrawn pursuant to the Offer as satisfies the Minimum Tender Condition (the “</w:t>
      </w:r>
      <w:r>
        <w:rPr>
          <w:rFonts w:ascii="Times New Roman" w:cs="Times New Roman" w:eastAsia="Times New Roman" w:hAnsi="Times New Roman"/>
          <w:sz w:val="18"/>
          <w:szCs w:val="18"/>
          <w:b w:val="1"/>
          <w:bCs w:val="1"/>
          <w:color w:val="auto"/>
        </w:rPr>
        <w:t>Offer Acceptance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the Company and the Board will take all such steps as may reasonably be necessary to cause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including any dispositions of Common Shares (or any Company Stock Option, Company RSU, Company Restricted Stock, Warrants or other derivative security) by each person who is or will be subject to the reporting requirements of Section 16(a) of the Exchange Act with respect to the Company, to be exempt under Rule 16b-3 under the Exchange Act.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Rule 14d-10 Matters</w:t>
      </w:r>
    </w:p>
    <w:p>
      <w:pPr>
        <w:spacing w:after="0" w:line="121" w:lineRule="exact"/>
        <w:rPr>
          <w:sz w:val="20"/>
          <w:szCs w:val="20"/>
          <w:color w:val="auto"/>
        </w:rPr>
      </w:pPr>
    </w:p>
    <w:p>
      <w:pPr>
        <w:ind w:left="300" w:right="479"/>
        <w:spacing w:after="0" w:line="277" w:lineRule="auto"/>
        <w:rPr>
          <w:sz w:val="20"/>
          <w:szCs w:val="20"/>
          <w:color w:val="auto"/>
        </w:rPr>
      </w:pPr>
      <w:r>
        <w:rPr>
          <w:rFonts w:ascii="Times New Roman" w:cs="Times New Roman" w:eastAsia="Times New Roman" w:hAnsi="Times New Roman"/>
          <w:sz w:val="17"/>
          <w:szCs w:val="17"/>
          <w:color w:val="auto"/>
        </w:rPr>
        <w:t>The Merger Agreement provides that prior to the Offer Acceptance Time and to the extent permitted by applicable Legal Requirements, the compensation committee of the Board will approve, as an “employment compensation, severance or other employee benefit arrangement” within the meaning of Rule 14d-10(d)(2) under the Exchange Act, any and all Compensation Actions (as defined in the Merger Agreement) taken after January 1 of the current fiscal year and prior to the Offer Acceptance Time that have not already been so approved, including (i) increasing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or benefits or the right to receive any severance or termination compensation or benefit,</w:t>
      </w:r>
    </w:p>
    <w:p>
      <w:pPr>
        <w:spacing w:after="0" w:line="27" w:lineRule="exact"/>
        <w:rPr>
          <w:sz w:val="20"/>
          <w:szCs w:val="20"/>
          <w:color w:val="auto"/>
        </w:rPr>
      </w:pPr>
    </w:p>
    <w:p>
      <w:pPr>
        <w:ind w:left="300" w:right="439" w:hanging="8"/>
        <w:spacing w:after="0" w:line="253" w:lineRule="auto"/>
        <w:tabs>
          <w:tab w:leader="none" w:pos="5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employment, consulting, indemnification, termination, change of control, non-competition, or severance agreement with any of the present or former director or officer or any approval, amendment or modification of any such agreement, and (iii) approving, amending, or adopting any Company Plan (as defined in the Merger Agreement). As of the date of this Schedule 14D-9, the compensation committee of the Board has so approved by unanimous resolution.</w:t>
      </w:r>
    </w:p>
    <w:p>
      <w:pPr>
        <w:spacing w:after="0" w:line="18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The Solicitation or Recommendation.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00" w:right="319"/>
        <w:spacing w:after="0" w:line="270" w:lineRule="auto"/>
        <w:rPr>
          <w:sz w:val="20"/>
          <w:szCs w:val="20"/>
          <w:color w:val="auto"/>
        </w:rPr>
      </w:pPr>
      <w:r>
        <w:rPr>
          <w:rFonts w:ascii="Times New Roman" w:cs="Times New Roman" w:eastAsia="Times New Roman" w:hAnsi="Times New Roman"/>
          <w:sz w:val="17"/>
          <w:szCs w:val="17"/>
          <w:color w:val="auto"/>
        </w:rPr>
        <w:t>After consideration, including review of the terms and conditions of the Offer and the Merger in consultation with the Company’s management, as well as the Company’s financial and legal advisors, the Board, by unanimous vote at a meeting on May 29, 2026, (i) determined that the Merger Agreement and the Transactions, including the Offer and the Merger, are advisable and fair to, and in the best interests of, the Company and the holders of Common Shares,</w:t>
      </w:r>
    </w:p>
    <w:p>
      <w:pPr>
        <w:spacing w:after="0" w:line="3" w:lineRule="exact"/>
        <w:rPr>
          <w:sz w:val="20"/>
          <w:szCs w:val="20"/>
          <w:color w:val="auto"/>
        </w:rPr>
      </w:pPr>
    </w:p>
    <w:p>
      <w:pPr>
        <w:ind w:left="300" w:right="339" w:hanging="8"/>
        <w:spacing w:after="0" w:line="271" w:lineRule="auto"/>
        <w:tabs>
          <w:tab w:leader="none" w:pos="56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adopted the Merger Agreement and approved the execution, delivery and performance by the Company of the Merger Agreement and the consummation of the Transactions, including the Offer and the Merger, and (iii) resolved to recommend that the holders of Common Shares accept the Offer and tender their Common Shares pursuant to the Offer. </w:t>
      </w:r>
      <w:r>
        <w:rPr>
          <w:rFonts w:ascii="Times New Roman" w:cs="Times New Roman" w:eastAsia="Times New Roman" w:hAnsi="Times New Roman"/>
          <w:sz w:val="17"/>
          <w:szCs w:val="17"/>
          <w:b w:val="1"/>
          <w:bCs w:val="1"/>
          <w:color w:val="auto"/>
        </w:rPr>
        <w:t>Accordingly, for the reasons described in more detail below, the Board unanimously recommends that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the holders of Shares accept the Offer and tender their Shares to Purchaser pursuant to the Offer.</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Offer</w:t>
      </w:r>
    </w:p>
    <w:p>
      <w:pPr>
        <w:spacing w:after="0" w:line="119"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chronology summarizes material meetings and events that led to the execution of the Merger Agreement, but it does not purport to catalogue every conversation of the Board, members of the Company’s management team, the Company’s advisors or other parties and their respective financial advisors, legal advisors, affiliates or other representatives.</w:t>
      </w:r>
    </w:p>
    <w:p>
      <w:pPr>
        <w:spacing w:after="0" w:line="74"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Board, together with the Company’s management team, regularly review the Company’s operating and strategic plans, both near-term and long-term. The Board has also considered various strategic opportunities available to the Company intended to enhance stockholder value and the Company’s performance and prospects, taking into account the business, regulatory, competitive, financing and economic environment and developments in the Company’s industry, including the difficulty in recent years of raising the capital necessary to fund the development of the Company’s drug candidates on attractive terms, or at all. As such, the Board has considered what additional capital the Company would need to continue to execute on its long-term strategy as a standalone company, which in recent years has focused on developing, seeking marketing authorization for and commercializing the Company’s lead drug candidate, certepetide (formerly LSTA1 or CEND-1), and whether the Company should (i) pursue various partnerships, licensing transactions or collaborations, or (ii) pursue a sale of the Company as a whole or sales of certain assets of the Company. As part of this process, members of the Company’s management team and the Board have engaged from time to time in business development and strategic discussions with participants in the life sciences industry, with the goal of enhancing value for the Company’s stockholders. As noted in its prior Annual Reports on Form 10-K, the Board and the Company’s management team have focused on, among other things, the opportunities and risks associated with the Company’s business and financial condition, potential partnering opportunities and strategic relationships, and other strategic options.</w:t>
      </w:r>
    </w:p>
    <w:p>
      <w:pPr>
        <w:spacing w:after="0" w:line="87" w:lineRule="exact"/>
        <w:rPr>
          <w:sz w:val="20"/>
          <w:szCs w:val="20"/>
          <w:color w:val="auto"/>
        </w:rPr>
      </w:pPr>
    </w:p>
    <w:p>
      <w:pPr>
        <w:ind w:left="300" w:right="539"/>
        <w:spacing w:after="0" w:line="254" w:lineRule="auto"/>
        <w:rPr>
          <w:sz w:val="20"/>
          <w:szCs w:val="20"/>
          <w:color w:val="auto"/>
        </w:rPr>
      </w:pPr>
      <w:r>
        <w:rPr>
          <w:rFonts w:ascii="Times New Roman" w:cs="Times New Roman" w:eastAsia="Times New Roman" w:hAnsi="Times New Roman"/>
          <w:sz w:val="18"/>
          <w:szCs w:val="18"/>
          <w:color w:val="auto"/>
        </w:rPr>
        <w:t>The terms of the Tender Offer and Merger Agreement with Parent are the result of extensive arm’s-length negotiations among members of the Company’s management team and the principals of Parent, along with their respective advisors and under the guidance of the Board. The Company followed a careful process assisted by experienced outside financial and legal advisors to rigorously examine potential transactions and transaction candidates through broad outreach to life sciences companies and a thorough process of evaluation of prospective strategic partners. The following is a summary of the background of the process undertaken by the Company, the identification and evaluation of potential strategic alternatives and the negotiation of the Offer and Merger Agreement with Parent.</w:t>
      </w:r>
    </w:p>
    <w:p>
      <w:pPr>
        <w:spacing w:after="0" w:line="84"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color w:val="auto"/>
        </w:rPr>
        <w:t>On September 9, 2024, following the completion of certain preclinical work performed with use of the Company’s investigational product in combination with Parent’s NanoMark™ asset under a materials transfer agreement between the Company and a wholly owned subsidiary of Parent (the “</w:t>
      </w:r>
      <w:r>
        <w:rPr>
          <w:rFonts w:ascii="Times New Roman" w:cs="Times New Roman" w:eastAsia="Times New Roman" w:hAnsi="Times New Roman"/>
          <w:sz w:val="18"/>
          <w:szCs w:val="18"/>
          <w:b w:val="1"/>
          <w:bCs w:val="1"/>
          <w:color w:val="auto"/>
        </w:rPr>
        <w:t>MTA</w:t>
      </w:r>
      <w:r>
        <w:rPr>
          <w:rFonts w:ascii="Times New Roman" w:cs="Times New Roman" w:eastAsia="Times New Roman" w:hAnsi="Times New Roman"/>
          <w:sz w:val="18"/>
          <w:szCs w:val="18"/>
          <w:color w:val="auto"/>
        </w:rPr>
        <w:t>”), the Company and Parent held a meeting to discuss a potential licensing transaction. Participating on behalf of the Company at this meeting was Tariq Imam, Senior Vice President, Business Development, Operations and General Counsel, and on behalf of Parent were Mark Land, Chief Executive Officer, and Andrew Hopkins, Chief Scientific Officer.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79"/>
        <w:spacing w:after="0" w:line="282" w:lineRule="auto"/>
        <w:rPr>
          <w:sz w:val="20"/>
          <w:szCs w:val="20"/>
          <w:color w:val="auto"/>
        </w:rPr>
      </w:pPr>
      <w:r>
        <w:rPr>
          <w:rFonts w:ascii="Times New Roman" w:cs="Times New Roman" w:eastAsia="Times New Roman" w:hAnsi="Times New Roman"/>
          <w:sz w:val="18"/>
          <w:szCs w:val="18"/>
          <w:color w:val="auto"/>
        </w:rPr>
        <w:t>On September 23, 2024, Messrs. Land and Hopkins arranged for a discussion with Mr. Imam regarding a non-binding term sheet with respect to the potential licensing transaction.</w:t>
      </w:r>
    </w:p>
    <w:p>
      <w:pPr>
        <w:spacing w:after="0" w:line="54" w:lineRule="exact"/>
        <w:rPr>
          <w:sz w:val="20"/>
          <w:szCs w:val="20"/>
          <w:color w:val="auto"/>
        </w:rPr>
      </w:pPr>
    </w:p>
    <w:p>
      <w:pPr>
        <w:ind w:left="300" w:right="719"/>
        <w:spacing w:after="0" w:line="261" w:lineRule="auto"/>
        <w:rPr>
          <w:sz w:val="20"/>
          <w:szCs w:val="20"/>
          <w:color w:val="auto"/>
        </w:rPr>
      </w:pPr>
      <w:r>
        <w:rPr>
          <w:rFonts w:ascii="Times New Roman" w:cs="Times New Roman" w:eastAsia="Times New Roman" w:hAnsi="Times New Roman"/>
          <w:sz w:val="18"/>
          <w:szCs w:val="18"/>
          <w:color w:val="auto"/>
        </w:rPr>
        <w:t>In a series of meetings held throughout October and early November 2024, Mr. Imam and Messrs. Land and Hopkins held various discussions regarding the terms of a proposed licensing transaction pursuant to which the Company would grant a license for the development and commercialization of certepetide (formerly LSTA1 or CEND-1) to Parent.</w:t>
      </w:r>
    </w:p>
    <w:p>
      <w:pPr>
        <w:spacing w:after="0" w:line="72"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On November 25, 2024, Mr. Imam and Messrs. Land and Hopkins held a meeting to finalize terms of the definitive agreement for the licensing transaction, as discussed below. During such discussion, Mr. Land indicated to Mr. Imam that Parent may seek to make an investment in the Company at some later date.</w:t>
      </w:r>
    </w:p>
    <w:p>
      <w:pPr>
        <w:spacing w:after="0" w:line="64" w:lineRule="exact"/>
        <w:rPr>
          <w:sz w:val="20"/>
          <w:szCs w:val="20"/>
          <w:color w:val="auto"/>
        </w:rPr>
      </w:pPr>
    </w:p>
    <w:p>
      <w:pPr>
        <w:ind w:left="300" w:right="339"/>
        <w:spacing w:after="0" w:line="267" w:lineRule="auto"/>
        <w:rPr>
          <w:sz w:val="20"/>
          <w:szCs w:val="20"/>
          <w:color w:val="auto"/>
        </w:rPr>
      </w:pPr>
      <w:r>
        <w:rPr>
          <w:rFonts w:ascii="Times New Roman" w:cs="Times New Roman" w:eastAsia="Times New Roman" w:hAnsi="Times New Roman"/>
          <w:sz w:val="17"/>
          <w:szCs w:val="17"/>
          <w:color w:val="auto"/>
        </w:rPr>
        <w:t>On November 30, 2024, the Company entered into an exclusive license and collaboration agreement (the “</w:t>
      </w:r>
      <w:r>
        <w:rPr>
          <w:rFonts w:ascii="Times New Roman" w:cs="Times New Roman" w:eastAsia="Times New Roman" w:hAnsi="Times New Roman"/>
          <w:sz w:val="17"/>
          <w:szCs w:val="17"/>
          <w:b w:val="1"/>
          <w:bCs w:val="1"/>
          <w:color w:val="auto"/>
        </w:rPr>
        <w:t>License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with Parent, pursuant to which the Company granted a worldwide royalty bearing exclusive license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Exclusive License</w:t>
      </w:r>
      <w:r>
        <w:rPr>
          <w:rFonts w:ascii="Times New Roman" w:cs="Times New Roman" w:eastAsia="Times New Roman" w:hAnsi="Times New Roman"/>
          <w:sz w:val="17"/>
          <w:szCs w:val="17"/>
          <w:color w:val="auto"/>
        </w:rPr>
        <w:t>”) for the development and commercialization of certepetide (formerly LSTA1 or CEND-1) as a targeting and delivery agent for Parent’s NanoMark™ imaging technology in solid tumors (the “</w:t>
      </w:r>
      <w:r>
        <w:rPr>
          <w:rFonts w:ascii="Times New Roman" w:cs="Times New Roman" w:eastAsia="Times New Roman" w:hAnsi="Times New Roman"/>
          <w:sz w:val="17"/>
          <w:szCs w:val="17"/>
          <w:b w:val="1"/>
          <w:bCs w:val="1"/>
          <w:color w:val="auto"/>
        </w:rPr>
        <w:t>Licensed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Products</w:t>
      </w:r>
      <w:r>
        <w:rPr>
          <w:rFonts w:ascii="Times New Roman" w:cs="Times New Roman" w:eastAsia="Times New Roman" w:hAnsi="Times New Roman"/>
          <w:sz w:val="17"/>
          <w:szCs w:val="17"/>
          <w:color w:val="auto"/>
        </w:rPr>
        <w:t>”) and a worldwide non-exclusive license (the “</w:t>
      </w:r>
      <w:r>
        <w:rPr>
          <w:rFonts w:ascii="Times New Roman" w:cs="Times New Roman" w:eastAsia="Times New Roman" w:hAnsi="Times New Roman"/>
          <w:sz w:val="17"/>
          <w:szCs w:val="17"/>
          <w:b w:val="1"/>
          <w:bCs w:val="1"/>
          <w:color w:val="auto"/>
        </w:rPr>
        <w:t>Non-Exclusive License</w:t>
      </w:r>
      <w:r>
        <w:rPr>
          <w:rFonts w:ascii="Times New Roman" w:cs="Times New Roman" w:eastAsia="Times New Roman" w:hAnsi="Times New Roman"/>
          <w:sz w:val="17"/>
          <w:szCs w:val="17"/>
          <w:color w:val="auto"/>
        </w:rPr>
        <w:t>”, and together with the Exclusive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License, the “</w:t>
      </w:r>
      <w:r>
        <w:rPr>
          <w:rFonts w:ascii="Times New Roman" w:cs="Times New Roman" w:eastAsia="Times New Roman" w:hAnsi="Times New Roman"/>
          <w:sz w:val="17"/>
          <w:szCs w:val="17"/>
          <w:b w:val="1"/>
          <w:bCs w:val="1"/>
          <w:color w:val="auto"/>
        </w:rPr>
        <w:t>Licenses</w:t>
      </w:r>
      <w:r>
        <w:rPr>
          <w:rFonts w:ascii="Times New Roman" w:cs="Times New Roman" w:eastAsia="Times New Roman" w:hAnsi="Times New Roman"/>
          <w:sz w:val="17"/>
          <w:szCs w:val="17"/>
          <w:color w:val="auto"/>
        </w:rPr>
        <w:t>”) to develop and commercialize the Licensed Products using the know-how of the Sanford Burnham Prebys Medical Discovery Institute (“</w:t>
      </w:r>
      <w:r>
        <w:rPr>
          <w:rFonts w:ascii="Times New Roman" w:cs="Times New Roman" w:eastAsia="Times New Roman" w:hAnsi="Times New Roman"/>
          <w:sz w:val="17"/>
          <w:szCs w:val="17"/>
          <w:b w:val="1"/>
          <w:bCs w:val="1"/>
          <w:color w:val="auto"/>
        </w:rPr>
        <w:t>SBP</w:t>
      </w:r>
      <w:r>
        <w:rPr>
          <w:rFonts w:ascii="Times New Roman" w:cs="Times New Roman" w:eastAsia="Times New Roman" w:hAnsi="Times New Roman"/>
          <w:sz w:val="17"/>
          <w:szCs w:val="17"/>
          <w:color w:val="auto"/>
        </w:rPr>
        <w:t>”, and such know-how the “</w:t>
      </w:r>
      <w:r>
        <w:rPr>
          <w:rFonts w:ascii="Times New Roman" w:cs="Times New Roman" w:eastAsia="Times New Roman" w:hAnsi="Times New Roman"/>
          <w:sz w:val="17"/>
          <w:szCs w:val="17"/>
          <w:b w:val="1"/>
          <w:bCs w:val="1"/>
          <w:color w:val="auto"/>
        </w:rPr>
        <w:t>Licensed SBP Patents</w:t>
      </w:r>
      <w:r>
        <w:rPr>
          <w:rFonts w:ascii="Times New Roman" w:cs="Times New Roman" w:eastAsia="Times New Roman" w:hAnsi="Times New Roman"/>
          <w:sz w:val="17"/>
          <w:szCs w:val="17"/>
          <w:color w:val="auto"/>
        </w:rPr>
        <w:t>”) previously granted to the Company pursuant to a license agreement by and between the Company and SBP (the “</w:t>
      </w:r>
      <w:r>
        <w:rPr>
          <w:rFonts w:ascii="Times New Roman" w:cs="Times New Roman" w:eastAsia="Times New Roman" w:hAnsi="Times New Roman"/>
          <w:sz w:val="17"/>
          <w:szCs w:val="17"/>
          <w:b w:val="1"/>
          <w:bCs w:val="1"/>
          <w:color w:val="auto"/>
        </w:rPr>
        <w:t>SBP License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Under the License Agreement, Parent agreed to assume full responsibility for research, development,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commercialization costs of the Licensed Products, while the Company agreed to be responsible for supplying the Licensed Products for clinical use at a rate of cost plus 10% pursuant to a clinical supply agreement entered into by the Company and Parent on November 30, 2024. In consideration for the rights under the License Agreement, Parent agreed to, in the aggregate, (i) pay an upfront cash license fee of $1.0 million, (ii) pay development milestone payments of up to $1.5 million upon the achievement of specified regulatory milestones as set forth in the License Agreement, (iii) pay commercial milestone payments of up to $17.5 million upon the achievement of specified commercial and net sales milestones as set forth in the License Agreement, (iv) pay a flat-rate five (5.0%) percent royalty based upon a percentage of net sales of the Licensed Product, subject to specified reductions as set forth in the License Agreement, and (v) pay a portion of any sublicense consideration received from the grant of any sublicense or similar rights under any of the rights or licenses granted to Parent under the License Agreement. The License Agreement remained in effect until it expired on a product-by-product and country-by-country basis at the end of the royalty term unless sooner terminated pursuant to the terms of the License Agreement.</w:t>
      </w:r>
    </w:p>
    <w:p>
      <w:pPr>
        <w:spacing w:after="0" w:line="81"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On December 3, 2024, the Company and Parent issued a joint press release publicly announcing the signing of the License Agreement and filed a Form 8-K with the SEC.</w:t>
      </w:r>
    </w:p>
    <w:p>
      <w:pPr>
        <w:spacing w:after="0" w:line="54"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In late 2024, the Company determined that it would need to raise substantial additional financing to further develop and commercialize certepetide (formerly LSTA1 or CEND-1). However, the Company’s depressed market capitalization and the challenging state of the conventional financing market for clinical stage biopharmaceutical companies made raising the required funding through equity financing structures difficult, and as a result, the Board and Company management regularly met and discussed other potential strategic transactions.</w:t>
      </w:r>
    </w:p>
    <w:p>
      <w:pPr>
        <w:spacing w:after="0" w:line="7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On December 11, 2024, the Company entered into an engagement letter (the “</w:t>
      </w:r>
      <w:r>
        <w:rPr>
          <w:rFonts w:ascii="Times New Roman" w:cs="Times New Roman" w:eastAsia="Times New Roman" w:hAnsi="Times New Roman"/>
          <w:sz w:val="18"/>
          <w:szCs w:val="18"/>
          <w:b w:val="1"/>
          <w:bCs w:val="1"/>
          <w:color w:val="auto"/>
        </w:rPr>
        <w:t>Wainright Engagement Letter</w:t>
      </w:r>
      <w:r>
        <w:rPr>
          <w:rFonts w:ascii="Times New Roman" w:cs="Times New Roman" w:eastAsia="Times New Roman" w:hAnsi="Times New Roman"/>
          <w:sz w:val="18"/>
          <w:szCs w:val="18"/>
          <w:color w:val="auto"/>
        </w:rPr>
        <w:t>”) with H.C. Wainwright &amp; Co., LLC (“</w:t>
      </w:r>
      <w:r>
        <w:rPr>
          <w:rFonts w:ascii="Times New Roman" w:cs="Times New Roman" w:eastAsia="Times New Roman" w:hAnsi="Times New Roman"/>
          <w:sz w:val="18"/>
          <w:szCs w:val="18"/>
          <w:b w:val="1"/>
          <w:bCs w:val="1"/>
          <w:color w:val="auto"/>
        </w:rPr>
        <w:t>Wainright</w:t>
      </w:r>
      <w:r>
        <w:rPr>
          <w:rFonts w:ascii="Times New Roman" w:cs="Times New Roman" w:eastAsia="Times New Roman" w:hAnsi="Times New Roman"/>
          <w:sz w:val="18"/>
          <w:szCs w:val="18"/>
          <w:color w:val="auto"/>
        </w:rPr>
        <w:t>”) to serve as its exclusive underwriter, agent or advisor in any offering of securities and granted Wainright a right of first refusal to act as the financial advisor in connection with any acquisition, merger, consolidation, reorganization, recapitalization, business combination or other transaction pursuant to which the Company or any of its subsidiaries is acquired or combined with another entity. The Company did not engage Wainright in anticipation of any specific transaction. Wainright had been acting as an investment banker for the Company primarily in a fundraising capacity since 2019.</w:t>
      </w:r>
    </w:p>
    <w:p>
      <w:pPr>
        <w:spacing w:after="0" w:line="79" w:lineRule="exact"/>
        <w:rPr>
          <w:sz w:val="20"/>
          <w:szCs w:val="20"/>
          <w:color w:val="auto"/>
        </w:rPr>
      </w:pPr>
    </w:p>
    <w:p>
      <w:pPr>
        <w:ind w:left="300" w:right="379"/>
        <w:spacing w:after="0" w:line="312" w:lineRule="auto"/>
        <w:rPr>
          <w:sz w:val="20"/>
          <w:szCs w:val="20"/>
          <w:color w:val="auto"/>
        </w:rPr>
      </w:pPr>
      <w:r>
        <w:rPr>
          <w:rFonts w:ascii="Times New Roman" w:cs="Times New Roman" w:eastAsia="Times New Roman" w:hAnsi="Times New Roman"/>
          <w:sz w:val="17"/>
          <w:szCs w:val="17"/>
          <w:color w:val="auto"/>
        </w:rPr>
        <w:t>On December 17, 2024, Mr. Imam and Ryan Quick, VP of Chemistry, Manufacturing and Controls at the Company, met with Mr. Hopkins regarding Parent’s need for drug supply in connection with the License Agreement.</w:t>
      </w:r>
    </w:p>
    <w:p>
      <w:pPr>
        <w:spacing w:after="0" w:line="32" w:lineRule="exact"/>
        <w:rPr>
          <w:sz w:val="20"/>
          <w:szCs w:val="20"/>
          <w:color w:val="auto"/>
        </w:rPr>
      </w:pPr>
    </w:p>
    <w:p>
      <w:pPr>
        <w:ind w:left="300" w:right="499"/>
        <w:spacing w:after="0" w:line="312" w:lineRule="auto"/>
        <w:rPr>
          <w:sz w:val="20"/>
          <w:szCs w:val="20"/>
          <w:color w:val="auto"/>
        </w:rPr>
      </w:pPr>
      <w:r>
        <w:rPr>
          <w:rFonts w:ascii="Times New Roman" w:cs="Times New Roman" w:eastAsia="Times New Roman" w:hAnsi="Times New Roman"/>
          <w:sz w:val="17"/>
          <w:szCs w:val="17"/>
          <w:color w:val="auto"/>
        </w:rPr>
        <w:t>On January 8, 2025, Messrs. Land and Hopkins and Mr. Imam were joined by Dr. David J. Mazzo, the Company’s President and Chief Executive Officer, for an in-person meeting in Peapack, New Jersey, to discuss, among other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things, the businesses of the Company and Parent, respectively, and the potential interest of both parties in pursuing a strategic partnership beyond that of the existing License Agreement, whereby Parent would engage the Company to perform certain research and development services for Parent.</w:t>
      </w:r>
    </w:p>
    <w:p>
      <w:pPr>
        <w:spacing w:after="0" w:line="64"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On January 25, 2025, the Company received an unsolicited non-binding term sheet (the “</w:t>
      </w:r>
      <w:r>
        <w:rPr>
          <w:rFonts w:ascii="Times New Roman" w:cs="Times New Roman" w:eastAsia="Times New Roman" w:hAnsi="Times New Roman"/>
          <w:sz w:val="18"/>
          <w:szCs w:val="18"/>
          <w:b w:val="1"/>
          <w:bCs w:val="1"/>
          <w:color w:val="auto"/>
        </w:rPr>
        <w:t>January 25 Term Sheet</w:t>
      </w:r>
      <w:r>
        <w:rPr>
          <w:rFonts w:ascii="Times New Roman" w:cs="Times New Roman" w:eastAsia="Times New Roman" w:hAnsi="Times New Roman"/>
          <w:sz w:val="18"/>
          <w:szCs w:val="18"/>
          <w:color w:val="auto"/>
        </w:rPr>
        <w:t>”) for a merger between the Company and Parent. The January 25 Term Sheet proposed, among other things, a merger between the Company and Parent pursuant to which (i) the Company would declare a $1.25 per share cash dividend on each share of common stock of the Company outstanding immediately prior to the effectiveness of the proposed merger, (ii) Parent would offer to redeem all of the Company’s outstanding shares of common stock for $2.75 per share in cash and (iii) Parent would be issued 34 million shares of the Company’s common stock (subject to appropriate adjustment) to equal four (4) times the number of outstanding shares of the Company’s common stock (on a fully-diluted basis) prior to the redemption offer. In addition, the January 25 Term Sheet proposed that concurrently with the merger, the parties would close on binding commitments (to be obtained prior to the merger) to invest at least $80 million in the Company through a private placement of the Company’s common stock at $2.75 per share.</w:t>
      </w:r>
    </w:p>
    <w:p>
      <w:pPr>
        <w:spacing w:after="0" w:line="78"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On February 12, 2025, the Board, as well as members of the Company’s management team, representatives of Wainright and representatives of Mintz, Levin, Cohn, Ferris, Glovsky and Popeo, P.C., outside legal counsel to Lisata (“</w:t>
      </w:r>
      <w:r>
        <w:rPr>
          <w:rFonts w:ascii="Times New Roman" w:cs="Times New Roman" w:eastAsia="Times New Roman" w:hAnsi="Times New Roman"/>
          <w:sz w:val="18"/>
          <w:szCs w:val="18"/>
          <w:b w:val="1"/>
          <w:bCs w:val="1"/>
          <w:color w:val="auto"/>
        </w:rPr>
        <w:t>Mintz</w:t>
      </w:r>
      <w:r>
        <w:rPr>
          <w:rFonts w:ascii="Times New Roman" w:cs="Times New Roman" w:eastAsia="Times New Roman" w:hAnsi="Times New Roman"/>
          <w:sz w:val="18"/>
          <w:szCs w:val="18"/>
          <w:color w:val="auto"/>
        </w:rPr>
        <w:t>”), held a meeting via videoconference to discuss the January 25 Term Sheet and unrelated potential financing strategies and opportunities to fund the Company’s operations independent of any change of control transaction. Representatives of Wainright expressed concern over whether Parent had access to sufficient capital to fund the transactions contemplated by the January 25 Term Sheet because Mr. Land had not communicated his sources of financing nor identified an investment bank to lead his financing efforts.</w:t>
      </w:r>
    </w:p>
    <w:p>
      <w:pPr>
        <w:spacing w:after="0" w:line="8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On March 5, 2025, during a regular meeting of the Board, in which the Company’s management and representatives of Wainright attended a portion of the meeting, representatives of Wainright reviewed a variety of potential strategic alternatives with the Board, and the Board, members of the Company’s management and representatives of Wainright discussed the January 25 Term Sheet and other potential strategic alternatives. Following this discussion, members of the Company’s management team were instructed to continue discussions with Parent and seek more information about the proposed transaction from the January 25 Term Sheet, including with respect to the proposed transaction’s structure and Parent’s ability to finance the proposed transaction. During the executive session of such meeting, the Board appointed a transaction committee consisting of four directors: Dr. Mazzo, Dr. Brown, Mr. Klosk and Ms. Henson (the “</w:t>
      </w:r>
      <w:r>
        <w:rPr>
          <w:rFonts w:ascii="Times New Roman" w:cs="Times New Roman" w:eastAsia="Times New Roman" w:hAnsi="Times New Roman"/>
          <w:sz w:val="18"/>
          <w:szCs w:val="18"/>
          <w:b w:val="1"/>
          <w:bCs w:val="1"/>
          <w:color w:val="auto"/>
        </w:rPr>
        <w:t>Transaction Committee</w:t>
      </w:r>
      <w:r>
        <w:rPr>
          <w:rFonts w:ascii="Times New Roman" w:cs="Times New Roman" w:eastAsia="Times New Roman" w:hAnsi="Times New Roman"/>
          <w:sz w:val="18"/>
          <w:szCs w:val="18"/>
          <w:color w:val="auto"/>
        </w:rPr>
        <w:t>”). The Transaction Committee was formed for convenience and efficiency, and was not formed to address any actual or perceived director conflict of interest and its members were not paid any additional compensation by the Company for serving on the committee. The Transaction Committee discussed and authorized continued engagement with Parent to explore a proposed transaction, including the entry into confidentiality agreements and due diligence review. The Board believed and conveyed that a counteroffer at a significant premium above the then current market price of the Company was appropriate given the potential upside from future data readouts.</w:t>
      </w:r>
    </w:p>
    <w:p>
      <w:pPr>
        <w:spacing w:after="0" w:line="88"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On March 6, 2025, Dr. Mazzo, Mr. Imam, and Mr. Land had a meeting, over videoconference, to discuss the proposed transaction structure and Parent’s ability to finance the proposed transaction, and to discuss next steps. Dr. Mazzo, Mr. Imam, and Mr. Land discussed structuring the transaction as a tender offer at a significant premium to the then current market price of the Company and Mr. Land requested a 30-day period of exclusivity.</w:t>
      </w:r>
    </w:p>
    <w:p>
      <w:pPr>
        <w:spacing w:after="0" w:line="68" w:lineRule="exact"/>
        <w:rPr>
          <w:sz w:val="20"/>
          <w:szCs w:val="20"/>
          <w:color w:val="auto"/>
        </w:rPr>
      </w:pPr>
    </w:p>
    <w:p>
      <w:pPr>
        <w:ind w:left="300" w:right="339"/>
        <w:spacing w:after="0" w:line="259" w:lineRule="auto"/>
        <w:rPr>
          <w:sz w:val="20"/>
          <w:szCs w:val="20"/>
          <w:color w:val="auto"/>
        </w:rPr>
      </w:pPr>
      <w:r>
        <w:rPr>
          <w:rFonts w:ascii="Times New Roman" w:cs="Times New Roman" w:eastAsia="Times New Roman" w:hAnsi="Times New Roman"/>
          <w:sz w:val="18"/>
          <w:szCs w:val="18"/>
          <w:color w:val="auto"/>
        </w:rPr>
        <w:t>On March 12, 2025, the Company sent a revised non-binding term sheet to Parent (the “</w:t>
      </w:r>
      <w:r>
        <w:rPr>
          <w:rFonts w:ascii="Times New Roman" w:cs="Times New Roman" w:eastAsia="Times New Roman" w:hAnsi="Times New Roman"/>
          <w:sz w:val="18"/>
          <w:szCs w:val="18"/>
          <w:b w:val="1"/>
          <w:bCs w:val="1"/>
          <w:color w:val="auto"/>
        </w:rPr>
        <w:t>March 12 Term Sheet</w:t>
      </w:r>
      <w:r>
        <w:rPr>
          <w:rFonts w:ascii="Times New Roman" w:cs="Times New Roman" w:eastAsia="Times New Roman" w:hAnsi="Times New Roman"/>
          <w:sz w:val="18"/>
          <w:szCs w:val="18"/>
          <w:color w:val="auto"/>
        </w:rPr>
        <w:t>”) that proposed, among other things, a merger agreement contemplating a “take private” transaction whereby Parent would offer to purchase all of the outstanding shares of common stock of the Company at $7.00 per share in cash. In addition, the March 12 Term Sheet included (i) a 30-day exclusivity period, (ii) a fiduciary termination right by the Company in the event of a bona fide superior proposal and (iii) a standstill proposal.</w:t>
      </w:r>
    </w:p>
    <w:p>
      <w:pPr>
        <w:spacing w:after="0" w:line="75"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On March 14, 2025, Dr. Mazzo and Mr. Imam met with Mr. Land in person in Houston, Texas to discuss the terms of the March 12 Term Sheet, among other things, including potential alternative transaction structures such as a license or asset purchase. Upon the meeting’s conclusion, Mr. Land reaffirmed Parent’s interest in acquiring the Company and intended to confer with its counsel to provide a counterproposal to the March 12 Term Sheet.</w:t>
      </w:r>
    </w:p>
    <w:p>
      <w:pPr>
        <w:spacing w:after="0" w:line="68" w:lineRule="exact"/>
        <w:rPr>
          <w:sz w:val="20"/>
          <w:szCs w:val="20"/>
          <w:color w:val="auto"/>
        </w:rPr>
      </w:pPr>
    </w:p>
    <w:p>
      <w:pPr>
        <w:ind w:left="300" w:right="519"/>
        <w:spacing w:after="0" w:line="268" w:lineRule="auto"/>
        <w:rPr>
          <w:sz w:val="20"/>
          <w:szCs w:val="20"/>
          <w:color w:val="auto"/>
        </w:rPr>
      </w:pPr>
      <w:r>
        <w:rPr>
          <w:rFonts w:ascii="Times New Roman" w:cs="Times New Roman" w:eastAsia="Times New Roman" w:hAnsi="Times New Roman"/>
          <w:sz w:val="18"/>
          <w:szCs w:val="18"/>
          <w:color w:val="auto"/>
        </w:rPr>
        <w:t>On March 25, 2025, the Company received a revised non-binding term sheet from Parent (the “</w:t>
      </w:r>
      <w:r>
        <w:rPr>
          <w:rFonts w:ascii="Times New Roman" w:cs="Times New Roman" w:eastAsia="Times New Roman" w:hAnsi="Times New Roman"/>
          <w:sz w:val="18"/>
          <w:szCs w:val="18"/>
          <w:b w:val="1"/>
          <w:bCs w:val="1"/>
          <w:color w:val="auto"/>
        </w:rPr>
        <w:t>March 25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Sheet</w:t>
      </w:r>
      <w:r>
        <w:rPr>
          <w:rFonts w:ascii="Times New Roman" w:cs="Times New Roman" w:eastAsia="Times New Roman" w:hAnsi="Times New Roman"/>
          <w:sz w:val="18"/>
          <w:szCs w:val="18"/>
          <w:color w:val="auto"/>
        </w:rPr>
        <w:t>”) that proposed, among other things, a merger agreement contemplating a tender offer to purchase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shares of common stock of the Company at $5.50 per share in cash. The March 25 Term Sheet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74" w:lineRule="auto"/>
        <w:rPr>
          <w:sz w:val="20"/>
          <w:szCs w:val="20"/>
          <w:color w:val="auto"/>
        </w:rPr>
      </w:pPr>
      <w:r>
        <w:rPr>
          <w:rFonts w:ascii="Times New Roman" w:cs="Times New Roman" w:eastAsia="Times New Roman" w:hAnsi="Times New Roman"/>
          <w:sz w:val="17"/>
          <w:szCs w:val="17"/>
          <w:color w:val="auto"/>
        </w:rPr>
        <w:t>contemplated the Company remaining a publicly-traded company listed on Nasdaq. In addition, the March 25 Term Sheet proposed (i) a private placement of an undetermined amount of shares of common stock of the Company contingent on a successful tender, (ii) a 120-day exclusivity period with a potential for automatic extension, (ii) an undetermined termination fee if the Company terminated the purchase agreement or tender, accepts a different offer to purchase shares of the Company’s common stock or a majority of the aggregate voting power of all shares of common stock then outstanding do not accept the tender and (iv) a proposal for a separate standstill agreement.</w:t>
      </w:r>
    </w:p>
    <w:p>
      <w:pPr>
        <w:spacing w:after="0" w:line="65"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On March 26, 2025, Mr. Imam sent an email to Mr. Land making introductions to the Company’s attorneys at Mintz. Later that day, Mr. Land replied making introductions to Parent’s attorneys at Shackelford, McKinley &amp; Norton, LLP (“</w:t>
      </w:r>
      <w:r>
        <w:rPr>
          <w:rFonts w:ascii="Times New Roman" w:cs="Times New Roman" w:eastAsia="Times New Roman" w:hAnsi="Times New Roman"/>
          <w:sz w:val="18"/>
          <w:szCs w:val="18"/>
          <w:b w:val="1"/>
          <w:bCs w:val="1"/>
          <w:color w:val="auto"/>
        </w:rPr>
        <w:t>Shackelford Law</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On March 27, 2025, representatives of Mintz and Shackelford Law held a meeting to discuss the March 25 Term Sheet and the overall logistics of a proposed transaction. Representatives of Mintz expressed their view to representatives of Shackelford Law that it was likely not possible for Parent to make a tender offer for the Company’s outstanding shares of common stock and remain as a publicly traded company on Nasdaq.</w:t>
      </w:r>
    </w:p>
    <w:p>
      <w:pPr>
        <w:spacing w:after="0" w:line="72" w:lineRule="exact"/>
        <w:rPr>
          <w:sz w:val="20"/>
          <w:szCs w:val="20"/>
          <w:color w:val="auto"/>
        </w:rPr>
      </w:pPr>
    </w:p>
    <w:p>
      <w:pPr>
        <w:ind w:left="300" w:right="639"/>
        <w:spacing w:after="0" w:line="282" w:lineRule="auto"/>
        <w:rPr>
          <w:sz w:val="20"/>
          <w:szCs w:val="20"/>
          <w:color w:val="auto"/>
        </w:rPr>
      </w:pPr>
      <w:r>
        <w:rPr>
          <w:rFonts w:ascii="Times New Roman" w:cs="Times New Roman" w:eastAsia="Times New Roman" w:hAnsi="Times New Roman"/>
          <w:sz w:val="18"/>
          <w:szCs w:val="18"/>
          <w:color w:val="auto"/>
        </w:rPr>
        <w:t>On April 1, 2025, the Board, members of the Company’s management team, and representatives of Mintz held a meeting to discuss, among other things, the status of discussions with Parent.</w:t>
      </w:r>
    </w:p>
    <w:p>
      <w:pPr>
        <w:spacing w:after="0" w:line="54" w:lineRule="exact"/>
        <w:rPr>
          <w:sz w:val="20"/>
          <w:szCs w:val="20"/>
          <w:color w:val="auto"/>
        </w:rPr>
      </w:pPr>
    </w:p>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On April 8, 2025, a special meeting of the Board was held to discuss the proposed terms of a proposed transaction with Parent. At the request of the Board, Mr. Land attended a portion of the meeting, presenting Parent, its history, technology, and a general overview of its intended goals as it relates to the proposed transaction.</w:t>
      </w:r>
    </w:p>
    <w:p>
      <w:pPr>
        <w:spacing w:after="0" w:line="64" w:lineRule="exact"/>
        <w:rPr>
          <w:sz w:val="20"/>
          <w:szCs w:val="20"/>
          <w:color w:val="auto"/>
        </w:rPr>
      </w:pPr>
    </w:p>
    <w:p>
      <w:pPr>
        <w:ind w:left="300" w:right="639"/>
        <w:spacing w:after="0" w:line="259" w:lineRule="auto"/>
        <w:rPr>
          <w:sz w:val="20"/>
          <w:szCs w:val="20"/>
          <w:color w:val="auto"/>
        </w:rPr>
      </w:pPr>
      <w:r>
        <w:rPr>
          <w:rFonts w:ascii="Times New Roman" w:cs="Times New Roman" w:eastAsia="Times New Roman" w:hAnsi="Times New Roman"/>
          <w:sz w:val="18"/>
          <w:szCs w:val="18"/>
          <w:color w:val="auto"/>
        </w:rPr>
        <w:t>On April 9, 2025, the Company sent a revised non-binding term sheet to Parent (the “</w:t>
      </w:r>
      <w:r>
        <w:rPr>
          <w:rFonts w:ascii="Times New Roman" w:cs="Times New Roman" w:eastAsia="Times New Roman" w:hAnsi="Times New Roman"/>
          <w:sz w:val="18"/>
          <w:szCs w:val="18"/>
          <w:b w:val="1"/>
          <w:bCs w:val="1"/>
          <w:color w:val="auto"/>
        </w:rPr>
        <w:t>April 9 Term Sheet</w:t>
      </w:r>
      <w:r>
        <w:rPr>
          <w:rFonts w:ascii="Times New Roman" w:cs="Times New Roman" w:eastAsia="Times New Roman" w:hAnsi="Times New Roman"/>
          <w:sz w:val="18"/>
          <w:szCs w:val="18"/>
          <w:color w:val="auto"/>
        </w:rPr>
        <w:t>”) that proposed, among other things, (i) a purchase agreement contemplating a tender offer to purchase all of the outstanding shares of common stock of the Company at $6.50 per share in cash, (ii) a 45-day exclusivity period,</w:t>
      </w:r>
    </w:p>
    <w:p>
      <w:pPr>
        <w:ind w:left="300" w:right="339" w:hanging="8"/>
        <w:spacing w:after="0" w:line="255" w:lineRule="auto"/>
        <w:tabs>
          <w:tab w:leader="none" w:pos="6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fiduciary termination right by the Company in the event of a bona fide superior proposal and (iv) a standstill proposal and rejected the proposal of a termination fee in the event of a termination of the purchase agreement in the event of the Company’s exercise of its fiduciary termination right.</w:t>
      </w:r>
    </w:p>
    <w:p>
      <w:pPr>
        <w:spacing w:after="0" w:line="74" w:lineRule="exact"/>
        <w:rPr>
          <w:sz w:val="20"/>
          <w:szCs w:val="20"/>
          <w:color w:val="auto"/>
        </w:rPr>
      </w:pPr>
    </w:p>
    <w:p>
      <w:pPr>
        <w:ind w:left="300" w:right="479"/>
        <w:spacing w:after="0" w:line="257" w:lineRule="auto"/>
        <w:rPr>
          <w:sz w:val="20"/>
          <w:szCs w:val="20"/>
          <w:color w:val="auto"/>
        </w:rPr>
      </w:pPr>
      <w:r>
        <w:rPr>
          <w:rFonts w:ascii="Times New Roman" w:cs="Times New Roman" w:eastAsia="Times New Roman" w:hAnsi="Times New Roman"/>
          <w:sz w:val="18"/>
          <w:szCs w:val="18"/>
          <w:color w:val="auto"/>
        </w:rPr>
        <w:t>On April 11, 2025, Parent sent a revised non-binding term sheet to the Company (the “</w:t>
      </w:r>
      <w:r>
        <w:rPr>
          <w:rFonts w:ascii="Times New Roman" w:cs="Times New Roman" w:eastAsia="Times New Roman" w:hAnsi="Times New Roman"/>
          <w:sz w:val="18"/>
          <w:szCs w:val="18"/>
          <w:b w:val="1"/>
          <w:bCs w:val="1"/>
          <w:color w:val="auto"/>
        </w:rPr>
        <w:t>April 11 Term Sheet</w:t>
      </w:r>
      <w:r>
        <w:rPr>
          <w:rFonts w:ascii="Times New Roman" w:cs="Times New Roman" w:eastAsia="Times New Roman" w:hAnsi="Times New Roman"/>
          <w:sz w:val="18"/>
          <w:szCs w:val="18"/>
          <w:color w:val="auto"/>
        </w:rPr>
        <w:t>”) that proposed, among other things, (i) a purchase agreement contemplating a tender offer to purchase all of the outstanding shares of common stock of the Company at $6.00 per share in cash, (ii) a private placement of an undetermined amount of shares of common stock at the market price, (iii) a 60-day exclusivity period with a potential for automatic extension, (iv) a fiduciary termination right by the Company in the event of a bona fide superior proposal and (v) a standstill for a reasonable period of time to be determined after further negotiation.</w:t>
      </w:r>
    </w:p>
    <w:p>
      <w:pPr>
        <w:spacing w:after="0" w:line="78"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On April 14, 2025, the Transaction Committee of the Board held a meeting with the Company’s management team to discuss the April 11 Term Sheet and the proposed response to the April 11 Term Sheet and authorized Company’s management to send a revised term sheet based on the terms discussed (as described below).</w:t>
      </w:r>
    </w:p>
    <w:p>
      <w:pPr>
        <w:spacing w:after="0" w:line="64" w:lineRule="exact"/>
        <w:rPr>
          <w:sz w:val="20"/>
          <w:szCs w:val="20"/>
          <w:color w:val="auto"/>
        </w:rPr>
      </w:pPr>
    </w:p>
    <w:p>
      <w:pPr>
        <w:ind w:left="300" w:right="339"/>
        <w:spacing w:after="0" w:line="259" w:lineRule="auto"/>
        <w:rPr>
          <w:sz w:val="20"/>
          <w:szCs w:val="20"/>
          <w:color w:val="auto"/>
        </w:rPr>
      </w:pPr>
      <w:r>
        <w:rPr>
          <w:rFonts w:ascii="Times New Roman" w:cs="Times New Roman" w:eastAsia="Times New Roman" w:hAnsi="Times New Roman"/>
          <w:sz w:val="18"/>
          <w:szCs w:val="18"/>
          <w:color w:val="auto"/>
        </w:rPr>
        <w:t>Later that day, on April 14, 2025, the Company sent a revised non-binding term sheet to Parent (the “</w:t>
      </w:r>
      <w:r>
        <w:rPr>
          <w:rFonts w:ascii="Times New Roman" w:cs="Times New Roman" w:eastAsia="Times New Roman" w:hAnsi="Times New Roman"/>
          <w:sz w:val="18"/>
          <w:szCs w:val="18"/>
          <w:b w:val="1"/>
          <w:bCs w:val="1"/>
          <w:color w:val="auto"/>
        </w:rPr>
        <w:t>April 14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Sheet</w:t>
      </w:r>
      <w:r>
        <w:rPr>
          <w:rFonts w:ascii="Times New Roman" w:cs="Times New Roman" w:eastAsia="Times New Roman" w:hAnsi="Times New Roman"/>
          <w:sz w:val="18"/>
          <w:szCs w:val="18"/>
          <w:color w:val="auto"/>
        </w:rPr>
        <w:t>”) accepting the proposal for a purchase agreement contemplating a tender offer to purchase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shares of common stock of the Company at $6.00 per share in cash. The April 14 Term Sheet rejected the proposal for a private placement of an undetermined amount of shares of common stock of the Company at the market price.</w:t>
      </w:r>
    </w:p>
    <w:p>
      <w:pPr>
        <w:spacing w:after="0" w:line="75" w:lineRule="exact"/>
        <w:rPr>
          <w:sz w:val="20"/>
          <w:szCs w:val="20"/>
          <w:color w:val="auto"/>
        </w:rPr>
      </w:pPr>
    </w:p>
    <w:p>
      <w:pPr>
        <w:jc w:val="both"/>
        <w:ind w:left="300" w:right="499"/>
        <w:spacing w:after="0" w:line="266" w:lineRule="auto"/>
        <w:rPr>
          <w:sz w:val="20"/>
          <w:szCs w:val="20"/>
          <w:color w:val="auto"/>
        </w:rPr>
      </w:pPr>
      <w:r>
        <w:rPr>
          <w:rFonts w:ascii="Times New Roman" w:cs="Times New Roman" w:eastAsia="Times New Roman" w:hAnsi="Times New Roman"/>
          <w:sz w:val="18"/>
          <w:szCs w:val="18"/>
          <w:color w:val="auto"/>
        </w:rPr>
        <w:t>On April 15, 2025, Dr. Mazzo and Mr. Land had a telephonic meeting to discuss, among other things, the April 14 Term Sheet, including the proposal for a private placement of shares of common stock concurrent with the tender offer.</w:t>
      </w:r>
    </w:p>
    <w:p>
      <w:pPr>
        <w:spacing w:after="0" w:line="68" w:lineRule="exact"/>
        <w:rPr>
          <w:sz w:val="20"/>
          <w:szCs w:val="20"/>
          <w:color w:val="auto"/>
        </w:rPr>
      </w:pPr>
    </w:p>
    <w:p>
      <w:pPr>
        <w:ind w:left="300" w:right="659"/>
        <w:spacing w:after="0" w:line="312" w:lineRule="auto"/>
        <w:rPr>
          <w:sz w:val="20"/>
          <w:szCs w:val="20"/>
          <w:color w:val="auto"/>
        </w:rPr>
      </w:pPr>
      <w:r>
        <w:rPr>
          <w:rFonts w:ascii="Times New Roman" w:cs="Times New Roman" w:eastAsia="Times New Roman" w:hAnsi="Times New Roman"/>
          <w:sz w:val="17"/>
          <w:szCs w:val="17"/>
          <w:color w:val="auto"/>
        </w:rPr>
        <w:t>On April 16, 2025, representatives of Mintz and Shackelford Law held a meeting to discuss the logistics and securities law considerations of a private placement of shares of common stock concurrent with the tender offer.</w:t>
      </w:r>
    </w:p>
    <w:p>
      <w:pPr>
        <w:spacing w:after="0" w:line="28" w:lineRule="exact"/>
        <w:rPr>
          <w:sz w:val="20"/>
          <w:szCs w:val="20"/>
          <w:color w:val="auto"/>
        </w:rPr>
      </w:pPr>
    </w:p>
    <w:p>
      <w:pPr>
        <w:ind w:left="300" w:right="339"/>
        <w:spacing w:after="0" w:line="262" w:lineRule="auto"/>
        <w:rPr>
          <w:sz w:val="20"/>
          <w:szCs w:val="20"/>
          <w:color w:val="auto"/>
        </w:rPr>
      </w:pPr>
      <w:r>
        <w:rPr>
          <w:rFonts w:ascii="Times New Roman" w:cs="Times New Roman" w:eastAsia="Times New Roman" w:hAnsi="Times New Roman"/>
          <w:sz w:val="18"/>
          <w:szCs w:val="18"/>
          <w:color w:val="auto"/>
        </w:rPr>
        <w:t>On April 23, 2025, the Company and Parent executed a mutual nondisclosure agreement (the “</w:t>
      </w:r>
      <w:r>
        <w:rPr>
          <w:rFonts w:ascii="Times New Roman" w:cs="Times New Roman" w:eastAsia="Times New Roman" w:hAnsi="Times New Roman"/>
          <w:sz w:val="18"/>
          <w:szCs w:val="18"/>
          <w:b w:val="1"/>
          <w:bCs w:val="1"/>
          <w:color w:val="auto"/>
        </w:rPr>
        <w:t>Mutual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Nondisclosure Agreement</w:t>
      </w:r>
      <w:r>
        <w:rPr>
          <w:rFonts w:ascii="Times New Roman" w:cs="Times New Roman" w:eastAsia="Times New Roman" w:hAnsi="Times New Roman"/>
          <w:sz w:val="18"/>
          <w:szCs w:val="18"/>
          <w:color w:val="auto"/>
        </w:rPr>
        <w:t>”), as the confidentiality provisions in the MTA were set to expire in August 2025,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did not include a standstill provision, for consistency with the confidentiality provisions in the MTA and in anticipation of the standstill agreement to accompany the April 25 Term Sheet (as defined below).</w:t>
      </w:r>
    </w:p>
    <w:p>
      <w:pPr>
        <w:spacing w:after="0" w:line="68" w:lineRule="exact"/>
        <w:rPr>
          <w:sz w:val="20"/>
          <w:szCs w:val="20"/>
          <w:color w:val="auto"/>
        </w:rPr>
      </w:pPr>
    </w:p>
    <w:p>
      <w:pPr>
        <w:ind w:left="300" w:right="439"/>
        <w:spacing w:after="0" w:line="317" w:lineRule="auto"/>
        <w:rPr>
          <w:sz w:val="20"/>
          <w:szCs w:val="20"/>
          <w:color w:val="auto"/>
        </w:rPr>
      </w:pPr>
      <w:r>
        <w:rPr>
          <w:rFonts w:ascii="Times New Roman" w:cs="Times New Roman" w:eastAsia="Times New Roman" w:hAnsi="Times New Roman"/>
          <w:sz w:val="17"/>
          <w:szCs w:val="17"/>
          <w:color w:val="auto"/>
        </w:rPr>
        <w:t>On April 25, 2025, Parent sent a revised non-binding term sheet (the “</w:t>
      </w:r>
      <w:r>
        <w:rPr>
          <w:rFonts w:ascii="Times New Roman" w:cs="Times New Roman" w:eastAsia="Times New Roman" w:hAnsi="Times New Roman"/>
          <w:sz w:val="17"/>
          <w:szCs w:val="17"/>
          <w:b w:val="1"/>
          <w:bCs w:val="1"/>
          <w:color w:val="auto"/>
        </w:rPr>
        <w:t>April 25 Term Shee</w:t>
      </w:r>
      <w:r>
        <w:rPr>
          <w:rFonts w:ascii="Times New Roman" w:cs="Times New Roman" w:eastAsia="Times New Roman" w:hAnsi="Times New Roman"/>
          <w:sz w:val="17"/>
          <w:szCs w:val="17"/>
          <w:color w:val="auto"/>
        </w:rPr>
        <w:t>t”) to the Company confirming the $6.00 price per share of the tender offer and modifying the closing condition whereby Parent would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be required to close the tender offer pursuant to which Parent agreed that prior to both the execution of the merger agreement and the expiration of the exclusivity period, Parent would provide funding commitments from third party investor(s) sufficient to cover all of its obligations to tender for the shares, including, without limitation, the funding of the tender offer.</w:t>
      </w:r>
    </w:p>
    <w:p>
      <w:pPr>
        <w:spacing w:after="0" w:line="72"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Later that day on April 25, 2025, the Company and Parent executed the April 25 Term Sheet and accompanying standstill agreement, which provided for a customary standstill for a period of one year. As part of the April 25 Term Sheet, Parent was provided with a sixty (60) day exclusivity period.</w:t>
      </w:r>
    </w:p>
    <w:p>
      <w:pPr>
        <w:spacing w:after="0" w:line="68"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Subsequent to the execution of the April 25 Term Sheet, representatives of Mintz and Shackelford Law participated in telephonic meetings and exchanged emails regarding when documents to effect the proposed transaction contemplated by the April 25 Term Sheet would be exchanged. Representatives of Mintz were instructed by Company management to not commence drafts of any documentation until there was sufficient evidence that Parent would obtain financing commitments to fund the tender offer.</w:t>
      </w:r>
    </w:p>
    <w:p>
      <w:pPr>
        <w:spacing w:after="0" w:line="75"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On May 8, 2025, Mr. Land met with Dr. Mazzo and Mr. Imam at the Company’s corporate headquarters in Basking Ridge, New Jersey, where they discussed the Company’s regulatory strategy, existing drug supply, manufacturing needs and scalability.</w:t>
      </w:r>
    </w:p>
    <w:p>
      <w:pPr>
        <w:spacing w:after="0" w:line="68"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On May 12, 2025, the Company and Wainright entered into an amendment to the Wainright Engagement Letter to extend the term of engagement, and the Company agreed to pay a transaction fee, a fairness opinion fee and reimbursement of certain expenses relating to a transaction with Parent as further described below under the caption “</w:t>
      </w:r>
      <w:r>
        <w:rPr>
          <w:rFonts w:ascii="Times New Roman" w:cs="Times New Roman" w:eastAsia="Times New Roman" w:hAnsi="Times New Roman"/>
          <w:sz w:val="18"/>
          <w:szCs w:val="18"/>
          <w:i w:val="1"/>
          <w:iCs w:val="1"/>
          <w:color w:val="auto"/>
        </w:rPr>
        <w:t>Opinion of H.C. Wainright &amp; Co., LLC</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On June 3, 2025, Mr. Imam and James Nisco, the Company’s Senior Vice President, Finance and Treasury and Chief Accounting Officer, met with Mr. Land in person in New York, New York to discuss the Company’s current and future expenses and near-term obligations.</w:t>
      </w:r>
    </w:p>
    <w:p>
      <w:pPr>
        <w:spacing w:after="0" w:line="68"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On June 10, 2025, during a regular meeting of the Board, members of the Company’s management team presented an updated status on the discussions with Parent and its financing strategy as the Board expressed concern as to whether Parent would be able to raise sufficient funds to make the tender offer as Parent had yet to provide evidence that Parent would be able to obtain financing commitments to fund the tender offer.</w:t>
      </w:r>
    </w:p>
    <w:p>
      <w:pPr>
        <w:spacing w:after="0" w:line="72" w:lineRule="exact"/>
        <w:rPr>
          <w:sz w:val="20"/>
          <w:szCs w:val="20"/>
          <w:color w:val="auto"/>
        </w:rPr>
      </w:pPr>
    </w:p>
    <w:p>
      <w:pPr>
        <w:jc w:val="both"/>
        <w:ind w:left="300" w:right="519"/>
        <w:spacing w:after="0" w:line="261" w:lineRule="auto"/>
        <w:rPr>
          <w:sz w:val="20"/>
          <w:szCs w:val="20"/>
          <w:color w:val="auto"/>
        </w:rPr>
      </w:pPr>
      <w:r>
        <w:rPr>
          <w:rFonts w:ascii="Times New Roman" w:cs="Times New Roman" w:eastAsia="Times New Roman" w:hAnsi="Times New Roman"/>
          <w:sz w:val="18"/>
          <w:szCs w:val="18"/>
          <w:color w:val="auto"/>
        </w:rPr>
        <w:t>On June 25, 2025, the Transaction Committee of the Board held a meeting with the Company’s management team and representatives of Mintz to discuss the proposed first extension of the April 25 Term Sheet and accompanying exclusivity period. During this meeting, the Transaction Committee authorized Company management to agree to such extension.</w:t>
      </w:r>
    </w:p>
    <w:p>
      <w:pPr>
        <w:spacing w:after="0" w:line="72"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On June 26, 2025, the Company and Parent executed the first extension of the April 25 Term Sheet, with the exclusivity period expiring on August 6, 2025. The extension was required so that Parent could raise the necessary funds to complete the tender offer and merger as contemplated by the April 25 Term Sheet.</w:t>
      </w:r>
    </w:p>
    <w:p>
      <w:pPr>
        <w:spacing w:after="0" w:line="68"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On July 1, 2025, Mr. Imam, representatives of Mintz, and representatives of Parent’s new outside counsel, Davis Polk &amp; Wardwell LLP (“</w:t>
      </w:r>
      <w:r>
        <w:rPr>
          <w:rFonts w:ascii="Times New Roman" w:cs="Times New Roman" w:eastAsia="Times New Roman" w:hAnsi="Times New Roman"/>
          <w:sz w:val="18"/>
          <w:szCs w:val="18"/>
          <w:b w:val="1"/>
          <w:bCs w:val="1"/>
          <w:color w:val="auto"/>
        </w:rPr>
        <w:t>Davis Polk</w:t>
      </w:r>
      <w:r>
        <w:rPr>
          <w:rFonts w:ascii="Times New Roman" w:cs="Times New Roman" w:eastAsia="Times New Roman" w:hAnsi="Times New Roman"/>
          <w:sz w:val="18"/>
          <w:szCs w:val="18"/>
          <w:color w:val="auto"/>
        </w:rPr>
        <w:t>”), had an introductory meeting to discuss the structure and timing to complete the transaction as contemplated by the April 25 Term Sheet.</w:t>
      </w:r>
    </w:p>
    <w:p>
      <w:pPr>
        <w:spacing w:after="0" w:line="68"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On July 15, 2025, Dr. Mazzo, through an industry acquaintance, received an email introduction to the CEO of Company A, a private biotechnology company focusing on treatments for women’s health and various cancers. The CEO of Company A expressed interest in exploring a potential licensing transaction with the Company.</w:t>
      </w:r>
    </w:p>
    <w:p>
      <w:pPr>
        <w:spacing w:after="0" w:line="68"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On July 16, 2025, in connection with exploring a potential licensing transaction, the Company and Company A executed a mutual nondisclosure agreement, which did not include a standstill provision, and both the Company and Company A provided one another with access to the other’s virtual data room. Access to Company A’s data room was provided for certain members of the Company’s management team.</w:t>
      </w:r>
    </w:p>
    <w:p>
      <w:pPr>
        <w:spacing w:after="0" w:line="72" w:lineRule="exact"/>
        <w:rPr>
          <w:sz w:val="20"/>
          <w:szCs w:val="20"/>
          <w:color w:val="auto"/>
        </w:rPr>
      </w:pPr>
    </w:p>
    <w:p>
      <w:pPr>
        <w:ind w:left="300" w:right="339"/>
        <w:spacing w:after="0" w:line="281" w:lineRule="auto"/>
        <w:rPr>
          <w:sz w:val="20"/>
          <w:szCs w:val="20"/>
          <w:color w:val="auto"/>
        </w:rPr>
      </w:pPr>
      <w:r>
        <w:rPr>
          <w:rFonts w:ascii="Times New Roman" w:cs="Times New Roman" w:eastAsia="Times New Roman" w:hAnsi="Times New Roman"/>
          <w:sz w:val="17"/>
          <w:szCs w:val="17"/>
          <w:color w:val="auto"/>
        </w:rPr>
        <w:t>On July 30, 2025, the Company received an unsolicited indication of interest from Company A, which proposed a reverse merger structure that would result in the stockholders of Company A owning 95% of the combined company and the stockholders of the Company owning 5% of the combined company, without any accompanying financial rationale for the relative valuations of the parties imputed by the ratios proposed. On the same day, Dr. Mazzo sent</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an email to the CEO of Company A making clear that the Company is subject to a “no-shop” exclusivity period and thus would be unable to engage in active negotiations until the exclusivity period expires, or only if Company A provides the Company with a bona fide superior offer to Parent’s last offer.</w:t>
      </w:r>
    </w:p>
    <w:p>
      <w:pPr>
        <w:spacing w:after="0" w:line="68"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On August 11, 2025, the Transaction Committee of the Board held a meeting with the Company’s management team and representatives of Mintz to discuss the proposed second extension of the April 25 Term Sheet with Parent and accompanying exclusivity period. In addition, the Company’s management discussed other transactions being contemplated, including the offer from Company A. The Board was supportive of extending the April 25 Term Sheet, due in part to Parent’s engagement of an internationally recognized investment banking firm that has substantial experience in transactions similar to the proposed transaction and the life sciences industry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Advisor A</w:t>
      </w:r>
      <w:r>
        <w:rPr>
          <w:rFonts w:ascii="Times New Roman" w:cs="Times New Roman" w:eastAsia="Times New Roman" w:hAnsi="Times New Roman"/>
          <w:sz w:val="18"/>
          <w:szCs w:val="18"/>
          <w:color w:val="auto"/>
        </w:rPr>
        <w:t>”) to assist with the financing of the proposed transaction.</w:t>
      </w:r>
    </w:p>
    <w:p>
      <w:pPr>
        <w:spacing w:after="0" w:line="81"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On August 19, 2025, the Company and Parent executed the second extension of the April 25 Term Sheet, with the exclusivity period expiring on September 18, 2025.</w:t>
      </w:r>
    </w:p>
    <w:p>
      <w:pPr>
        <w:spacing w:after="0" w:line="54"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On August 20, 2025, Dr. Mazzo notified the CEO of Company A that the Company was once again, subject to an exclusivity period, and thus can only resume discussions upon expiration of such exclusivity period. Moreover, Dr. Mazzo expressed that the proposed relative valuations of the entities were vastly disparate, and thus, the two parties were at an impasse with regard to expectations.</w:t>
      </w:r>
    </w:p>
    <w:p>
      <w:pPr>
        <w:spacing w:after="0" w:line="72"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On September 17, 2025, during a regular meeting of the Board, Mr. Land was invited by the Company to discuss the status of Parent’s fundraising activities. Mr. Land was also joined by a representative of Financial Advisor A, which was then serving as Parent’s financial advisor and investment bank to raise the funds needed to make the tender offer contemplated by the April 25 Term Sheet. After considering the presentation by Mr. Land and representative of Financial Advisor A, the Board was supportive of further extending the April 25 Term Sheet. Representatives of Mintz and Wainright also attended such meeting.</w:t>
      </w:r>
    </w:p>
    <w:p>
      <w:pPr>
        <w:spacing w:after="0" w:line="79"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On September 18, 2025, the exclusivity period under the second extension of the April 25 Term Sheet with Parent expired and representatives of Wainright introduced the Company to Company B, a private biotechnology company targeting acute ischemic stroke.</w:t>
      </w:r>
    </w:p>
    <w:p>
      <w:pPr>
        <w:spacing w:after="0" w:line="68"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On September 19, 2025, the Company and Company B executed a mutual nondisclosure agreement, which did not include a standstill provision, and held an introductory meeting with Company B, where Company B presented information about its technology and lead asset.</w:t>
      </w:r>
    </w:p>
    <w:p>
      <w:pPr>
        <w:spacing w:after="0" w:line="68" w:lineRule="exact"/>
        <w:rPr>
          <w:sz w:val="20"/>
          <w:szCs w:val="20"/>
          <w:color w:val="auto"/>
        </w:rPr>
      </w:pPr>
    </w:p>
    <w:p>
      <w:pPr>
        <w:ind w:left="300" w:right="359"/>
        <w:spacing w:after="0" w:line="289" w:lineRule="auto"/>
        <w:rPr>
          <w:sz w:val="20"/>
          <w:szCs w:val="20"/>
          <w:color w:val="auto"/>
        </w:rPr>
      </w:pPr>
      <w:r>
        <w:rPr>
          <w:rFonts w:ascii="Times New Roman" w:cs="Times New Roman" w:eastAsia="Times New Roman" w:hAnsi="Times New Roman"/>
          <w:sz w:val="17"/>
          <w:szCs w:val="17"/>
          <w:color w:val="auto"/>
        </w:rPr>
        <w:t>On September 22, 2025, following the expiration of the second extension of the April 25 Term Sheet, the Company and Company A, despite a prior impasse of each company’s financial and relative value expectations, resumed discussions, but Company A did not indicate that it had any flexibility with respect to its previously proposed terms.</w:t>
      </w:r>
    </w:p>
    <w:p>
      <w:pPr>
        <w:spacing w:after="0" w:line="50"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On September 23, 2025, both the Company and Company B provided one another with access to their respective virtual data rooms.</w:t>
      </w:r>
    </w:p>
    <w:p>
      <w:pPr>
        <w:spacing w:after="0" w:line="54" w:lineRule="exact"/>
        <w:rPr>
          <w:sz w:val="20"/>
          <w:szCs w:val="20"/>
          <w:color w:val="auto"/>
        </w:rPr>
      </w:pPr>
    </w:p>
    <w:p>
      <w:pPr>
        <w:ind w:left="300" w:right="679"/>
        <w:spacing w:after="0" w:line="282" w:lineRule="auto"/>
        <w:rPr>
          <w:sz w:val="20"/>
          <w:szCs w:val="20"/>
          <w:color w:val="auto"/>
        </w:rPr>
      </w:pPr>
      <w:r>
        <w:rPr>
          <w:rFonts w:ascii="Times New Roman" w:cs="Times New Roman" w:eastAsia="Times New Roman" w:hAnsi="Times New Roman"/>
          <w:sz w:val="18"/>
          <w:szCs w:val="18"/>
          <w:color w:val="auto"/>
        </w:rPr>
        <w:t>On September 24, 2025, members of the Company’s management team and representatives of Wainright visited Company’s B corporate headquarters for in-person meetings.</w:t>
      </w:r>
    </w:p>
    <w:p>
      <w:pPr>
        <w:spacing w:after="0" w:line="54"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On or around October, 2025, Mr. Land and Dr. Mazzo had a telephonic meeting to discuss, among other things, that Financial Advisor A was unable to raise the funds for the proposed tender offer contemplated by the April 25 Term Sheet and Mr. Land confirmed that Parent would seek other sources of financing.</w:t>
      </w:r>
    </w:p>
    <w:p>
      <w:pPr>
        <w:spacing w:after="0" w:line="68"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Between September 25 and October 10, 2025, several meetings were held between members of the Company and Company B’s management teams, along with scientific advisors to Company B, where they discussed several potential transactions of varying structures, including joint ventures and licensing transactions, but they did not discuss specific offers or financial terms.</w:t>
      </w:r>
    </w:p>
    <w:p>
      <w:pPr>
        <w:spacing w:after="0" w:line="72"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On October 9, 2025, the Company received an unsolicited inbound request, through an industry acquaintance of a member of Company management, for an introductory meeting from the financial advisors of Company C, a private biotechnology company targeting precancerous HPV-related cervical diseases, regarding Company C’s potential interest in pursuing a reverse merger transaction with the Company.</w:t>
      </w:r>
    </w:p>
    <w:p>
      <w:pPr>
        <w:spacing w:after="0" w:line="72"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On October 14, 2025, the Company and Company C executed a mutual nondisclosure agreement, which did not include a standstill.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On October 14, 2025, the Company and Company D, a meme token company seeking to create a digital asset treasury (“</w:t>
      </w:r>
      <w:r>
        <w:rPr>
          <w:rFonts w:ascii="Times New Roman" w:cs="Times New Roman" w:eastAsia="Times New Roman" w:hAnsi="Times New Roman"/>
          <w:sz w:val="18"/>
          <w:szCs w:val="18"/>
          <w:b w:val="1"/>
          <w:bCs w:val="1"/>
          <w:color w:val="auto"/>
        </w:rPr>
        <w:t>DAT</w:t>
      </w:r>
      <w:r>
        <w:rPr>
          <w:rFonts w:ascii="Times New Roman" w:cs="Times New Roman" w:eastAsia="Times New Roman" w:hAnsi="Times New Roman"/>
          <w:sz w:val="18"/>
          <w:szCs w:val="18"/>
          <w:color w:val="auto"/>
        </w:rPr>
        <w:t>”) company via a reverse merger into a public vehicle, had an introductory meeting, where the Company and Company D discussed the history of Company D’s token, its holders, the general structure of private-to-public DAT transactions and recent comparable transactions.</w:t>
      </w:r>
    </w:p>
    <w:p>
      <w:pPr>
        <w:spacing w:after="0" w:line="72"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On October 15, 2025, members of the Company’s management team held an introductory meeting with the management team of Company C and its financial advisors, where they discussed Company C’s ownership structure, technology, history and lead asset.</w:t>
      </w:r>
    </w:p>
    <w:p>
      <w:pPr>
        <w:spacing w:after="0" w:line="68" w:lineRule="exact"/>
        <w:rPr>
          <w:sz w:val="20"/>
          <w:szCs w:val="20"/>
          <w:color w:val="auto"/>
        </w:rPr>
      </w:pPr>
    </w:p>
    <w:p>
      <w:pPr>
        <w:ind w:left="300" w:right="579"/>
        <w:spacing w:after="0" w:line="258" w:lineRule="auto"/>
        <w:rPr>
          <w:sz w:val="20"/>
          <w:szCs w:val="20"/>
          <w:color w:val="auto"/>
        </w:rPr>
      </w:pPr>
      <w:r>
        <w:rPr>
          <w:rFonts w:ascii="Times New Roman" w:cs="Times New Roman" w:eastAsia="Times New Roman" w:hAnsi="Times New Roman"/>
          <w:sz w:val="18"/>
          <w:szCs w:val="18"/>
          <w:color w:val="auto"/>
        </w:rPr>
        <w:t>On October 16, 2025, Company A provided the Company with a revised non-binding term sheet, altering the proposed structure from a reverse merger transaction to a licensing agreement for rights to certepetide (formerly LSTA1 or CEND-1) with respect to three types of tumors and an exclusive option to select one for future clinical development. The proposed license included a low 4-figure up front option and exclusivity fee and limited future contingent payments upon the achievement of certain regulatory milestones.</w:t>
      </w:r>
    </w:p>
    <w:p>
      <w:pPr>
        <w:spacing w:after="0" w:line="75"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On October 17, 2025, a special meeting of the Board was held with the Company’s management team and representatives of Mintz to discuss, among other things, the status of discussions with Parent and the other potential counterparties. Dr. Mazzo provided an update based on discussions with Mr. Land that Financial Advisor A was unable to raise the funds for the proposed tender offer and that Parent would attempt to seek non-healthcare funds. The Board was supportive of terminating discussions with Company A if Company A was unwilling to improve its proposed terms. Similarly, the Board was supportive of terminating discussions with Company B if Company B could not, among other things, resolve or satisfactorily explain certain issues identified by the Company in its diligence of Company B.</w:t>
      </w:r>
    </w:p>
    <w:p>
      <w:pPr>
        <w:spacing w:after="0" w:line="84"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On October 20, 2025, members of the Company’s management team and the Board held a meeting with Company D and its outside counsel, where Company D and its outside counsel provided information on precedent DAT transactions and an overview of possible deal mechanics.</w:t>
      </w:r>
    </w:p>
    <w:p>
      <w:pPr>
        <w:spacing w:after="0" w:line="68"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On October 23, 2025, the Company and Company D executed a mutual nondisclosure agreement, which did not include a standstill.</w:t>
      </w:r>
    </w:p>
    <w:p>
      <w:pPr>
        <w:spacing w:after="0" w:line="54" w:lineRule="exact"/>
        <w:rPr>
          <w:sz w:val="20"/>
          <w:szCs w:val="20"/>
          <w:color w:val="auto"/>
        </w:rPr>
      </w:pPr>
    </w:p>
    <w:p>
      <w:pPr>
        <w:ind w:left="300" w:right="659"/>
        <w:spacing w:after="0" w:line="266" w:lineRule="auto"/>
        <w:rPr>
          <w:sz w:val="20"/>
          <w:szCs w:val="20"/>
          <w:color w:val="auto"/>
        </w:rPr>
      </w:pPr>
      <w:r>
        <w:rPr>
          <w:rFonts w:ascii="Times New Roman" w:cs="Times New Roman" w:eastAsia="Times New Roman" w:hAnsi="Times New Roman"/>
          <w:sz w:val="18"/>
          <w:szCs w:val="18"/>
          <w:color w:val="auto"/>
        </w:rPr>
        <w:t>On October 24, 2025, the Company received a preliminary term sheet from Company D, whereby the Company would issue $40 million of securities in a PIPE transaction and agree to use a large amount of the proceeds to purchase and hold certain digital assets (e.g. meme tokens).</w:t>
      </w:r>
    </w:p>
    <w:p>
      <w:pPr>
        <w:spacing w:after="0" w:line="68"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Following a series of negotiations, on October 29, 2025, both the Company and Company B ceased discussions, due in part to certain intellectual property and clinical data issues identified by the Company in its diligence of Company B.</w:t>
      </w:r>
    </w:p>
    <w:p>
      <w:pPr>
        <w:spacing w:after="0" w:line="68"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On November 5, 2025, Dr. Mazzo met with the Chief Operating Officer of Company D in person in San Diego, California to discuss the status of the proposed transaction and the preliminary term sheet, which was under review by the Company and the Board.</w:t>
      </w:r>
    </w:p>
    <w:p>
      <w:pPr>
        <w:spacing w:after="0" w:line="68" w:lineRule="exact"/>
        <w:rPr>
          <w:sz w:val="20"/>
          <w:szCs w:val="20"/>
          <w:color w:val="auto"/>
        </w:rPr>
      </w:pPr>
    </w:p>
    <w:p>
      <w:pPr>
        <w:ind w:left="300" w:right="719"/>
        <w:spacing w:after="0" w:line="261" w:lineRule="auto"/>
        <w:rPr>
          <w:sz w:val="20"/>
          <w:szCs w:val="20"/>
          <w:color w:val="auto"/>
        </w:rPr>
      </w:pPr>
      <w:r>
        <w:rPr>
          <w:rFonts w:ascii="Times New Roman" w:cs="Times New Roman" w:eastAsia="Times New Roman" w:hAnsi="Times New Roman"/>
          <w:sz w:val="18"/>
          <w:szCs w:val="18"/>
          <w:color w:val="auto"/>
        </w:rPr>
        <w:t>On November 10, 2025, the Company and Company A ended discussions noting that the proposed terms of the proposed license transaction (a low 4-figure up front option and exclusivity fee and limited future contingent payments upon the achieve of certain regulatory milestones) fell below market and thus would not serve in the interests of maximizing value for the Company and its stockholders.</w:t>
      </w:r>
    </w:p>
    <w:p>
      <w:pPr>
        <w:spacing w:after="0" w:line="72" w:lineRule="exact"/>
        <w:rPr>
          <w:sz w:val="20"/>
          <w:szCs w:val="20"/>
          <w:color w:val="auto"/>
        </w:rPr>
      </w:pPr>
    </w:p>
    <w:p>
      <w:pPr>
        <w:ind w:left="300" w:right="459"/>
        <w:spacing w:after="0" w:line="281" w:lineRule="auto"/>
        <w:rPr>
          <w:sz w:val="20"/>
          <w:szCs w:val="20"/>
          <w:color w:val="auto"/>
        </w:rPr>
      </w:pPr>
      <w:r>
        <w:rPr>
          <w:rFonts w:ascii="Times New Roman" w:cs="Times New Roman" w:eastAsia="Times New Roman" w:hAnsi="Times New Roman"/>
          <w:sz w:val="17"/>
          <w:szCs w:val="17"/>
          <w:color w:val="auto"/>
        </w:rPr>
        <w:t>On November 11, 2025, Company C ended discussions with the Company, in lieu of responding to the Company’s requests to resolve or explain certain issues identified by the Company in its diligence of Company C’s virtual data room, including with respect to its intellectual property and obligations under its existing license agreements. Company C did not provide any specific offer or proposal prior to ending discussions with the Company.</w:t>
      </w:r>
    </w:p>
    <w:p>
      <w:pPr>
        <w:spacing w:after="0" w:line="56" w:lineRule="exact"/>
        <w:rPr>
          <w:sz w:val="20"/>
          <w:szCs w:val="20"/>
          <w:color w:val="auto"/>
        </w:rPr>
      </w:pPr>
    </w:p>
    <w:p>
      <w:pPr>
        <w:ind w:left="300" w:right="799"/>
        <w:spacing w:after="0" w:line="258" w:lineRule="auto"/>
        <w:rPr>
          <w:sz w:val="20"/>
          <w:szCs w:val="20"/>
          <w:color w:val="auto"/>
        </w:rPr>
      </w:pPr>
      <w:r>
        <w:rPr>
          <w:rFonts w:ascii="Times New Roman" w:cs="Times New Roman" w:eastAsia="Times New Roman" w:hAnsi="Times New Roman"/>
          <w:sz w:val="18"/>
          <w:szCs w:val="18"/>
          <w:color w:val="auto"/>
        </w:rPr>
        <w:t>On November 12, 2025, a special meeting of the Board was held with the Company’s management team and representatives of Mintz to further discuss, among other things, the status of discussions with Parent and other potential counterparties. The Board supported continuing discussions with Parent and requested that a cryptocurrency expert present at its next meeting to aid the Board in evaluating the potential transaction with Company D.</w:t>
      </w:r>
    </w:p>
    <w:p>
      <w:pPr>
        <w:spacing w:after="0" w:line="71" w:lineRule="exact"/>
        <w:rPr>
          <w:sz w:val="20"/>
          <w:szCs w:val="20"/>
          <w:color w:val="auto"/>
        </w:rPr>
      </w:pPr>
    </w:p>
    <w:p>
      <w:pPr>
        <w:ind w:left="300" w:right="299"/>
        <w:spacing w:after="0" w:line="268" w:lineRule="auto"/>
        <w:rPr>
          <w:sz w:val="20"/>
          <w:szCs w:val="20"/>
          <w:color w:val="auto"/>
        </w:rPr>
      </w:pPr>
      <w:r>
        <w:rPr>
          <w:rFonts w:ascii="Times New Roman" w:cs="Times New Roman" w:eastAsia="Times New Roman" w:hAnsi="Times New Roman"/>
          <w:sz w:val="18"/>
          <w:szCs w:val="18"/>
          <w:color w:val="auto"/>
        </w:rPr>
        <w:t>On December 2, 2025, Parent submitted a non-binding indication of interest (the “</w:t>
      </w:r>
      <w:r>
        <w:rPr>
          <w:rFonts w:ascii="Times New Roman" w:cs="Times New Roman" w:eastAsia="Times New Roman" w:hAnsi="Times New Roman"/>
          <w:sz w:val="18"/>
          <w:szCs w:val="18"/>
          <w:b w:val="1"/>
          <w:bCs w:val="1"/>
          <w:color w:val="auto"/>
        </w:rPr>
        <w:t>December 2 IOI</w:t>
      </w:r>
      <w:r>
        <w:rPr>
          <w:rFonts w:ascii="Times New Roman" w:cs="Times New Roman" w:eastAsia="Times New Roman" w:hAnsi="Times New Roman"/>
          <w:sz w:val="18"/>
          <w:szCs w:val="18"/>
          <w:color w:val="auto"/>
        </w:rPr>
        <w:t>”) to the Board to acquire all of the outstanding equity of the Company for $4.00 per share in cash, representing a 100% premium to the Company’s closing share price on December 1, 2025. The December 2 IOI stated that the contemplated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transaction would be structured as a tender offer followed by a second-step merger in compliance with all applicable securities laws and that Parent intended to fund the transaction through a combination of committed equity capital from existing partners and new investors and available credit facilities and/or strategic financing sources. Parent stated that upon acceptance of the proposal by the Board, Parent was prepared to deliver customary evidence of financing commitments within ten (10) days. The December 2 IOI was conditioned on completion of confirmatory due diligence, including review of key commercial agreements, intellectual property, litigation and material contracts and (ii) a provision (the “</w:t>
      </w:r>
      <w:r>
        <w:rPr>
          <w:rFonts w:ascii="Times New Roman" w:cs="Times New Roman" w:eastAsia="Times New Roman" w:hAnsi="Times New Roman"/>
          <w:sz w:val="18"/>
          <w:szCs w:val="18"/>
          <w:b w:val="1"/>
          <w:bCs w:val="1"/>
          <w:color w:val="auto"/>
        </w:rPr>
        <w:t>Rollover Provision</w:t>
      </w:r>
      <w:r>
        <w:rPr>
          <w:rFonts w:ascii="Times New Roman" w:cs="Times New Roman" w:eastAsia="Times New Roman" w:hAnsi="Times New Roman"/>
          <w:sz w:val="18"/>
          <w:szCs w:val="18"/>
          <w:color w:val="auto"/>
        </w:rPr>
        <w:t>”) that Parent could, in consultation with the Company, agree with certain non-management stockholders, who were yet to be identified, that such stockholders would not tender their shares in the offer and instead contribute them to Parent in exchange for equity in Parent.</w:t>
      </w:r>
    </w:p>
    <w:p>
      <w:pPr>
        <w:spacing w:after="0" w:line="80" w:lineRule="exact"/>
        <w:rPr>
          <w:sz w:val="20"/>
          <w:szCs w:val="20"/>
          <w:color w:val="auto"/>
        </w:rPr>
      </w:pPr>
    </w:p>
    <w:p>
      <w:pPr>
        <w:ind w:left="300" w:right="579"/>
        <w:spacing w:after="0" w:line="276" w:lineRule="auto"/>
        <w:rPr>
          <w:sz w:val="20"/>
          <w:szCs w:val="20"/>
          <w:color w:val="auto"/>
        </w:rPr>
      </w:pPr>
      <w:r>
        <w:rPr>
          <w:rFonts w:ascii="Times New Roman" w:cs="Times New Roman" w:eastAsia="Times New Roman" w:hAnsi="Times New Roman"/>
          <w:sz w:val="17"/>
          <w:szCs w:val="17"/>
          <w:color w:val="auto"/>
        </w:rPr>
        <w:t>On December 16, 2025, during a regular meeting of the Board, with Company’s management present, Dr. Mazzo provided a brief update on the status of discussions with Parent, including the December 2 IOI. In addition,</w:t>
      </w:r>
    </w:p>
    <w:p>
      <w:pPr>
        <w:spacing w:after="0" w:line="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Mr. Nisco presented a 2026 cash flow (expenses) forecast as part of his financial report to the Board. Such 2026 cash flow forecast was placed in the data room on December 9, 2025 for Parent to review. Moreover, at the invitation of the Board, a cryptocurrency expert joined the Board meeting, outlining the significant inherent risks of a DAT strategy and volatility of meme tokens. It was following the advisement of such expert, the Board deduced that pursuing further discussions with Company D would likely not serve in the best interests of the Company and its stockholders.</w:t>
      </w:r>
    </w:p>
    <w:p>
      <w:pPr>
        <w:spacing w:after="0" w:line="82"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On December 17, 2025, Dr. Mazzo notified Company D via email, that pursuant to discussions held during Board’s December 16, 2025 meeting, the Board had instructed Dr. Mazzo to end negotiations between the parties.</w:t>
      </w:r>
    </w:p>
    <w:p>
      <w:pPr>
        <w:spacing w:after="0" w:line="50"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On December 20, 2025, the Company received a revised non-binding term sheet from Parent (the “</w:t>
      </w:r>
      <w:r>
        <w:rPr>
          <w:rFonts w:ascii="Times New Roman" w:cs="Times New Roman" w:eastAsia="Times New Roman" w:hAnsi="Times New Roman"/>
          <w:sz w:val="18"/>
          <w:szCs w:val="18"/>
          <w:b w:val="1"/>
          <w:bCs w:val="1"/>
          <w:color w:val="auto"/>
        </w:rPr>
        <w:t>December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 Sheet</w:t>
      </w:r>
      <w:r>
        <w:rPr>
          <w:rFonts w:ascii="Times New Roman" w:cs="Times New Roman" w:eastAsia="Times New Roman" w:hAnsi="Times New Roman"/>
          <w:sz w:val="18"/>
          <w:szCs w:val="18"/>
          <w:color w:val="auto"/>
        </w:rPr>
        <w:t>”), which provided for an offer price of $4.00 per Common Share and one (1) contingent value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w:t>
      </w:r>
      <w:r>
        <w:rPr>
          <w:rFonts w:ascii="Times New Roman" w:cs="Times New Roman" w:eastAsia="Times New Roman" w:hAnsi="Times New Roman"/>
          <w:sz w:val="18"/>
          <w:szCs w:val="18"/>
          <w:color w:val="auto"/>
        </w:rPr>
        <w:t>”), payable as $2.00 per Common Share upon approval of certepetide in any indication within 18 months of closing, as well as an exclusivity period of forty-five (45) days. The December 20 Term Sheet also included a “fiduciary out” provision applicable under certain circumstances in connection with a “superior proposal”, subject to the Company paying Parent a “customary termination fee” to be negotiated in connection with the definitive purchaser agreement.</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December 23, 2025, the Company sent a revised draft of the December 20 Term Sheet to Mr. Land (the</w:t>
      </w:r>
    </w:p>
    <w:p>
      <w:pPr>
        <w:spacing w:after="0" w:line="27" w:lineRule="exact"/>
        <w:rPr>
          <w:sz w:val="20"/>
          <w:szCs w:val="20"/>
          <w:color w:val="auto"/>
        </w:rPr>
      </w:pPr>
    </w:p>
    <w:p>
      <w:pPr>
        <w:ind w:left="300" w:right="45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December 23 Term Sheet</w:t>
      </w:r>
      <w:r>
        <w:rPr>
          <w:rFonts w:ascii="Times New Roman" w:cs="Times New Roman" w:eastAsia="Times New Roman" w:hAnsi="Times New Roman"/>
          <w:sz w:val="18"/>
          <w:szCs w:val="18"/>
          <w:color w:val="auto"/>
        </w:rPr>
        <w:t>”), which provided for the term sheet to be binding and an offer price of $4.00 per Common Share and one (1) CVR, payable as $2.00 per Common Share upon the earlier of 18 months of closing or approval of certepetide in any indication and in any jurisdiction, as well as striking the exclusivity period, maintaining the “fiduciary out” provision and including a reciprocal $2,000,000 breakup fee payable by the terminating party if the Purchase Agreement was terminated.</w:t>
      </w:r>
    </w:p>
    <w:p>
      <w:pPr>
        <w:spacing w:after="0" w:line="79"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On December 29, 2025, the Company received a revised draft of the December 23 Term Sheet from Parent (the “</w:t>
      </w:r>
      <w:r>
        <w:rPr>
          <w:rFonts w:ascii="Times New Roman" w:cs="Times New Roman" w:eastAsia="Times New Roman" w:hAnsi="Times New Roman"/>
          <w:sz w:val="18"/>
          <w:szCs w:val="18"/>
          <w:b w:val="1"/>
          <w:bCs w:val="1"/>
          <w:color w:val="auto"/>
        </w:rPr>
        <w:t>December 29 Term Sheet</w:t>
      </w:r>
      <w:r>
        <w:rPr>
          <w:rFonts w:ascii="Times New Roman" w:cs="Times New Roman" w:eastAsia="Times New Roman" w:hAnsi="Times New Roman"/>
          <w:sz w:val="18"/>
          <w:szCs w:val="18"/>
          <w:color w:val="auto"/>
        </w:rPr>
        <w:t>”). The December 29 Term Sheet provided for an offer price of $4.00 per Common Share and one (1) CVR, payable as $2.00 per Common Share upon approval of certepetide in any indication within 18 months of closing, as well as an exclusivity period of forty-five (45) days. The December 29 Term Sheet also revised the termination fee such that it was (i) payable by the Company to Parent if the Company terminated the Purchase Agreement for a superior proposal or in “certain other customary circumstances” to be negotiated in connection with the definitive Purchase Agreement and (ii) payable by Parent to the Company if the Company terminated the Purchase Agreement due to Parent’s failure to complete the offer.</w:t>
      </w:r>
    </w:p>
    <w:p>
      <w:pPr>
        <w:spacing w:after="0" w:line="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December 30, 2025, the Company sent a revised draft of the December 29 Term Sheet to Mr. Land (the</w:t>
      </w:r>
    </w:p>
    <w:p>
      <w:pPr>
        <w:spacing w:after="0" w:line="27" w:lineRule="exact"/>
        <w:rPr>
          <w:sz w:val="20"/>
          <w:szCs w:val="20"/>
          <w:color w:val="auto"/>
        </w:rPr>
      </w:pPr>
    </w:p>
    <w:p>
      <w:pPr>
        <w:ind w:left="300" w:right="43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December 30 Term Sheet</w:t>
      </w:r>
      <w:r>
        <w:rPr>
          <w:rFonts w:ascii="Times New Roman" w:cs="Times New Roman" w:eastAsia="Times New Roman" w:hAnsi="Times New Roman"/>
          <w:sz w:val="18"/>
          <w:szCs w:val="18"/>
          <w:color w:val="auto"/>
        </w:rPr>
        <w:t>”), which provided an offer price of $4.00 per Common Share and three (3) CVRs, payable as follows: (1) $1.00 per Common Share within 12 months of the date on which rights to certepetide in the Greater China region revert to the Company; (2) $1.00 per Common Share within 18 months of closing; and (3) $1.00 per Common Share upon approval of certepetide in any indication and in any jurisdiction. The</w:t>
      </w:r>
    </w:p>
    <w:p>
      <w:pPr>
        <w:spacing w:after="0" w:line="2"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December 30 Term Sheet also removed the exclusivity period of thirty (30) days. The December 30 Term Sheet also narrowed the termination fee provision to remove the obligation of the Company to pay Parent a termination fee if the Company terminated the Purchase Agreement in “certain other customary circumstances” to be negotiated in connection with the definitive Purchase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On January 5, 2026, a representative of Davis Polk discussed the exclusivity period and certain other terms of the term sheet with Mr. Imam. Mr. Imam sent a revised term sheet (the “</w:t>
      </w:r>
      <w:r>
        <w:rPr>
          <w:rFonts w:ascii="Times New Roman" w:cs="Times New Roman" w:eastAsia="Times New Roman" w:hAnsi="Times New Roman"/>
          <w:sz w:val="18"/>
          <w:szCs w:val="18"/>
          <w:b w:val="1"/>
          <w:bCs w:val="1"/>
          <w:color w:val="auto"/>
        </w:rPr>
        <w:t>January 5 Term Sheet</w:t>
      </w:r>
      <w:r>
        <w:rPr>
          <w:rFonts w:ascii="Times New Roman" w:cs="Times New Roman" w:eastAsia="Times New Roman" w:hAnsi="Times New Roman"/>
          <w:sz w:val="18"/>
          <w:szCs w:val="18"/>
          <w:color w:val="auto"/>
        </w:rPr>
        <w:t>”) to Davis Polk with a note that a compromise could be reached on the no-shop provision. At such time, Mr. Imam introduced representatives of Davis Polk to representatives of Mintz to discuss documentation of the proposed transaction.</w:t>
      </w:r>
    </w:p>
    <w:p>
      <w:pPr>
        <w:spacing w:after="0" w:line="72"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On January 6, 2026, a special meeting of the Board was held with the Company’s management team and representatives of Mintz to discuss the revisions to the December 30 Term Sheet and proposed counterproposals. The Board authorized management to submit to Parent a counterproposal with terms consistent with the January 5 Term Sheet and the January 9 Term Sheet (as defined below), including that the term sheet be binding. Given the prolonged nature of the negotiations between the Company and Parent over the preceding months, the Board reasoned that a binding term sheet would increase the likelihood the parties would promptly reach a definitive agreement in the best interests of the Company and its stockholders and that the public announcement of the binding term sheet could result in a superior offer for the Company.</w:t>
      </w:r>
    </w:p>
    <w:p>
      <w:pPr>
        <w:spacing w:after="0" w:line="84"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On January 9, 2026, members of the Company management team and representatives of Mintz held a meeting to discuss the Company’s counterproposal to the December 30 Term Sheet. The Board approved representatives of Mintz to submit to Parent a counterproposal to the December 30 Term Sheet with terms consistent to those discussed at the meeting.</w:t>
      </w:r>
    </w:p>
    <w:p>
      <w:pPr>
        <w:spacing w:after="0" w:line="72" w:lineRule="exact"/>
        <w:rPr>
          <w:sz w:val="20"/>
          <w:szCs w:val="20"/>
          <w:color w:val="auto"/>
        </w:rPr>
      </w:pPr>
    </w:p>
    <w:p>
      <w:pPr>
        <w:ind w:left="300" w:right="379"/>
        <w:spacing w:after="0" w:line="257" w:lineRule="auto"/>
        <w:rPr>
          <w:sz w:val="20"/>
          <w:szCs w:val="20"/>
          <w:color w:val="auto"/>
        </w:rPr>
      </w:pPr>
      <w:r>
        <w:rPr>
          <w:rFonts w:ascii="Times New Roman" w:cs="Times New Roman" w:eastAsia="Times New Roman" w:hAnsi="Times New Roman"/>
          <w:sz w:val="18"/>
          <w:szCs w:val="18"/>
          <w:color w:val="auto"/>
        </w:rPr>
        <w:t>Also on January 9, 2026, representatives of Mintz and representatives of Davis Polk exchanged revised drafts of the December 30 Term Sheet. Davis Polk’s draft (i) revised the offer price to $4.00 per Common Share and one (1) CVR, payable as $2.00 per Common Share upon approval of certepetide in any indication in any jurisdiction,</w:t>
      </w:r>
    </w:p>
    <w:p>
      <w:pPr>
        <w:spacing w:after="0" w:line="1" w:lineRule="exact"/>
        <w:rPr>
          <w:sz w:val="20"/>
          <w:szCs w:val="20"/>
          <w:color w:val="auto"/>
        </w:rPr>
      </w:pPr>
    </w:p>
    <w:p>
      <w:pPr>
        <w:ind w:left="300" w:right="319" w:hanging="8"/>
        <w:spacing w:after="0" w:line="251" w:lineRule="auto"/>
        <w:tabs>
          <w:tab w:leader="none" w:pos="5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reinserted a forty-five (45) day exclusivity period, (iii) added interim operating covenants relating to cash payments until the signing of the definitive purchase agreement and (iv) added exceptions for certain terminations which would not require the payment of the $2,000,000 breakup fee, such as a party determining in good faith that it is not willing to enter into the definitive purchase agreement because the other party requires that the definitive purchase agreement includes terms that are not commercially reasonable (the “</w:t>
      </w:r>
      <w:r>
        <w:rPr>
          <w:rFonts w:ascii="Times New Roman" w:cs="Times New Roman" w:eastAsia="Times New Roman" w:hAnsi="Times New Roman"/>
          <w:sz w:val="18"/>
          <w:szCs w:val="18"/>
          <w:b w:val="1"/>
          <w:bCs w:val="1"/>
          <w:color w:val="auto"/>
        </w:rPr>
        <w:t>Permitted Exceptions</w:t>
      </w:r>
      <w:r>
        <w:rPr>
          <w:rFonts w:ascii="Times New Roman" w:cs="Times New Roman" w:eastAsia="Times New Roman" w:hAnsi="Times New Roman"/>
          <w:sz w:val="18"/>
          <w:szCs w:val="18"/>
          <w:color w:val="auto"/>
        </w:rPr>
        <w:t>”). Mintz’s draft (the “</w:t>
      </w:r>
      <w:r>
        <w:rPr>
          <w:rFonts w:ascii="Times New Roman" w:cs="Times New Roman" w:eastAsia="Times New Roman" w:hAnsi="Times New Roman"/>
          <w:sz w:val="18"/>
          <w:szCs w:val="18"/>
          <w:b w:val="1"/>
          <w:bCs w:val="1"/>
          <w:color w:val="auto"/>
        </w:rPr>
        <w:t>January 9 Term Sheet</w:t>
      </w:r>
      <w:r>
        <w:rPr>
          <w:rFonts w:ascii="Times New Roman" w:cs="Times New Roman" w:eastAsia="Times New Roman" w:hAnsi="Times New Roman"/>
          <w:sz w:val="18"/>
          <w:szCs w:val="18"/>
          <w:color w:val="auto"/>
        </w:rPr>
        <w:t>”) (i) removed the Rollover Provision, (ii) provided that in addition to the consideration of $4.00 per share, each share tendered in the Offer or exchanged in the Merger would also be entitled to receive two (2) non-tradeable CVRs, payable as follows: $1.00 per share within twelve (12) months of the date on which rights to certepetide in the Greater China region revert to the Company; and $1.00 per share upon filing of an NDA or similar registration document for approval to commercialize certepetide in any indication in any jurisdiction. The January 9 Term Sheet revised the exclusivity provision from 45 days to 30 days, and also revised the language regarding the interim operating covenants relating to cash payments until the signing of the definitive merger agreement.</w:t>
      </w:r>
    </w:p>
    <w:p>
      <w:pPr>
        <w:spacing w:after="0" w:line="84"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On January 10, 2026, representatives of Davis Polk and Mintz discussed the revised term sheet and agreed that the following outstanding primary issues remained: (i) Parent needs to either have completed its diligence before signing or there would need to be some protections to Parent for diligence issues (e.g. not receiving the materials it has requested or new information coming to light), including a Company material adverse effect provision; and (ii) Parent required the Company to schedule estimated expenses during this interim period, including any investment banking fees and legal expenses.</w:t>
      </w:r>
    </w:p>
    <w:p>
      <w:pPr>
        <w:spacing w:after="0" w:line="79"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On January 11, 2026, a representative of Davis Polk sent a revised term sheet to representatives of Mintz, which reinstated the Rollover Provision whereby certain non-executive stockholders of the Company could agree to not tender their shares in the tender offer and instead contribute their shares to Parent in exchange for equity interests in Parent. In addition, a representative of Davis Polk added a Company material adverse effect provision to the termination section so that Parent would not be required to enter into the merger agreement if there was a material adverse effect on the Company.</w:t>
      </w:r>
    </w:p>
    <w:p>
      <w:pPr>
        <w:spacing w:after="0" w:line="79"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On January 12, 2026, members of the Company’s management team and representatives of Mintz and Wainright held a meeting to discuss the Company’s revisions to the term sheet. Later that day on January 12, 2026, a representative of Mintz sent a revised term sheet to a representative of Davis Polk, which added an 18 month standstill other than pursuant to the merger agreement and also added a definition of material adverse effect on the Company.</w:t>
      </w:r>
    </w:p>
    <w:p>
      <w:pPr>
        <w:spacing w:after="0" w:line="75" w:lineRule="exact"/>
        <w:rPr>
          <w:sz w:val="20"/>
          <w:szCs w:val="20"/>
          <w:color w:val="auto"/>
        </w:rPr>
      </w:pPr>
    </w:p>
    <w:p>
      <w:pPr>
        <w:ind w:left="300" w:right="539"/>
        <w:spacing w:after="0" w:line="312" w:lineRule="auto"/>
        <w:rPr>
          <w:sz w:val="20"/>
          <w:szCs w:val="20"/>
          <w:color w:val="auto"/>
        </w:rPr>
      </w:pPr>
      <w:r>
        <w:rPr>
          <w:rFonts w:ascii="Times New Roman" w:cs="Times New Roman" w:eastAsia="Times New Roman" w:hAnsi="Times New Roman"/>
          <w:sz w:val="17"/>
          <w:szCs w:val="17"/>
          <w:color w:val="auto"/>
        </w:rPr>
        <w:t>On January 15, 2026, a representative of Davis Polk sent a revised term sheet to representatives of Mintz, which removed the standstill language and requested that any equity awards and change of control payments that are not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publicly disclosed be listed on a schedule to the term sheet. A representative of Davis Polk also requested that the Company provide a schedule of anticipated expenses until signing the merger agreement and a proposed expiration date for the term sheet. Representatives of Davis Polk and Mintz discussed the proposed changes.</w:t>
      </w:r>
    </w:p>
    <w:p>
      <w:pPr>
        <w:spacing w:after="0" w:line="68" w:lineRule="exact"/>
        <w:rPr>
          <w:sz w:val="20"/>
          <w:szCs w:val="20"/>
          <w:color w:val="auto"/>
        </w:rPr>
      </w:pPr>
    </w:p>
    <w:p>
      <w:pPr>
        <w:ind w:left="300" w:right="699"/>
        <w:spacing w:after="0" w:line="266" w:lineRule="auto"/>
        <w:rPr>
          <w:sz w:val="20"/>
          <w:szCs w:val="20"/>
          <w:color w:val="auto"/>
        </w:rPr>
      </w:pPr>
      <w:r>
        <w:rPr>
          <w:rFonts w:ascii="Times New Roman" w:cs="Times New Roman" w:eastAsia="Times New Roman" w:hAnsi="Times New Roman"/>
          <w:sz w:val="18"/>
          <w:szCs w:val="18"/>
          <w:color w:val="auto"/>
        </w:rPr>
        <w:t>On January 16, 2026, a representative of Mintz sent a revised term sheet to representatives of Davis Polk which added back the eighteen (18) month standstill and inserted an expiration date of February 28, 2026. Such representatives of Mintz and Davis Polk discussed the standstill provision.</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January 19, 2026, Davis Polk sent a revised term sheet to representatives of Mintz which reduced the</w:t>
      </w:r>
    </w:p>
    <w:p>
      <w:pPr>
        <w:spacing w:after="0" w:line="27" w:lineRule="exact"/>
        <w:rPr>
          <w:sz w:val="20"/>
          <w:szCs w:val="20"/>
          <w:color w:val="auto"/>
        </w:rPr>
      </w:pPr>
    </w:p>
    <w:p>
      <w:pPr>
        <w:ind w:left="300" w:right="439"/>
        <w:spacing w:after="0" w:line="252" w:lineRule="auto"/>
        <w:rPr>
          <w:sz w:val="20"/>
          <w:szCs w:val="20"/>
          <w:color w:val="auto"/>
        </w:rPr>
      </w:pPr>
      <w:r>
        <w:rPr>
          <w:rFonts w:ascii="Times New Roman" w:cs="Times New Roman" w:eastAsia="Times New Roman" w:hAnsi="Times New Roman"/>
          <w:sz w:val="18"/>
          <w:szCs w:val="18"/>
          <w:color w:val="auto"/>
        </w:rPr>
        <w:t>eighteen (18) month standstill to twelve (12) months but included that such standstill shall be inoperative and of no force or effect if the term sheet is terminated, other than a termination by the Company due to Parent’s failure to enter into a merger agreement on terms and conditions materially consistent with the December 30 Term Sheet by February 27, 2026 (other than any such failure as a result of a Permitted Exception) and stated that such section superseded and replaced the standstill provision in the standstill agreement that accompanied the April 25 Term Sheet.</w:t>
      </w:r>
    </w:p>
    <w:p>
      <w:pPr>
        <w:spacing w:after="0" w:line="8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On January 20, 2026, a special meeting of the Board was held with the Company’s management team and representatives of Mintz to discuss the revised term sheet. Further, representatives of Wainright were invited at the request of the Board and presented an analysis on market precedents on valuation and orally stated its conclusion that the offer price set forth in the Binding Term Sheet was fair, from a financial point of view, to the Company’s stockholders. Representatives of Mintz reviewed with the Board the fiduciary duties of the directors in connection with the consideration of the potential transaction with Parent. The Board unanimously determined that the Binding Term Sheet and the transactions contemplated therein, including the tender offer and the merger, were advisable, fair to and in the best interests of the Company and its stockholders, and declared it advisable for the Company to enter into the Binding Term Sheet and negotiate in good faith and enter into a definitive agreement for the consummation of the transactions contemplated therein.</w:t>
      </w:r>
    </w:p>
    <w:p>
      <w:pPr>
        <w:spacing w:after="0" w:line="86"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On January 20, 2026, the Company and Parent executed the Binding Term Sheet, the terms of which are described herein under the heading “</w:t>
      </w:r>
      <w:r>
        <w:rPr>
          <w:rFonts w:ascii="Times New Roman" w:cs="Times New Roman" w:eastAsia="Times New Roman" w:hAnsi="Times New Roman"/>
          <w:sz w:val="18"/>
          <w:szCs w:val="18"/>
          <w:i w:val="1"/>
          <w:iCs w:val="1"/>
          <w:color w:val="auto"/>
        </w:rPr>
        <w:t>Arrangements with Purchaser, Parent, and their Affiliates—Binding Term Sheet</w:t>
      </w:r>
      <w:r>
        <w:rPr>
          <w:rFonts w:ascii="Times New Roman" w:cs="Times New Roman" w:eastAsia="Times New Roman" w:hAnsi="Times New Roman"/>
          <w:sz w:val="18"/>
          <w:szCs w:val="18"/>
          <w:color w:val="auto"/>
        </w:rPr>
        <w:t>.” The Binding Term Sheet provided for an offer price of $4.00 per Common Share and two (2) non-tradeable CVRs, payable as follows: (1) $1.00 per Common Share within 12 months of the date on which rights to certepetide in the Greater China region revert to the Company; and (2) $1.00 per Common Share upon filing of an NDA or similar registration document for approval to commercialize certepetide in any indication in any jurisdiction.</w:t>
      </w:r>
    </w:p>
    <w:p>
      <w:pPr>
        <w:spacing w:after="0" w:line="75"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On February 5, 2026, representatives of Goodwin Procter LLP (“</w:t>
      </w:r>
      <w:r>
        <w:rPr>
          <w:rFonts w:ascii="Times New Roman" w:cs="Times New Roman" w:eastAsia="Times New Roman" w:hAnsi="Times New Roman"/>
          <w:sz w:val="18"/>
          <w:szCs w:val="18"/>
          <w:b w:val="1"/>
          <w:bCs w:val="1"/>
          <w:color w:val="auto"/>
        </w:rPr>
        <w:t>Goodwin</w:t>
      </w:r>
      <w:r>
        <w:rPr>
          <w:rFonts w:ascii="Times New Roman" w:cs="Times New Roman" w:eastAsia="Times New Roman" w:hAnsi="Times New Roman"/>
          <w:sz w:val="18"/>
          <w:szCs w:val="18"/>
          <w:color w:val="auto"/>
        </w:rPr>
        <w:t>”), new outside counsel to Parent, sent representatives of Mintz a draft of the merger agreement. Due to the achievement of the milestone relating to the reversion of the rights to certepetide in Greater China back to the Company, the draft merger agreement reflected an Offer Price of $5.00 per Common Share and one (1) CVR representing the contingent right to receive $1.00 per Common Share upon filing of a new drug application or similar registration document for approval to commercialize certepetide in any indication in any jurisdiction. Consistent with the Binding Term Sheet, the draft merger agreement also provided for, among other things, (i) a termination fee of $2,000,000 payable by the Company to Parent in circumstances such as entering into a superior proposal, a change of recommendation, or certain post-termination competing transactions, (ii) a termination fee of $2,000,000 payable by the Parent to the Company for failure to commence or complete the offer, failure to accept tendered shares, or uncured breaches that result in a material adverse effect, and (ii) a “fiduciary out” provisions applicable under certain circumstances in connection with a “superior proposal.”</w:t>
      </w:r>
    </w:p>
    <w:p>
      <w:pPr>
        <w:spacing w:after="0" w:line="86"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On February 15, 2026, representatives of Mintz sent representatives of Goodwin a revised draft of the merger agreement, which included revisions to reflect, among other things (i) additional representations, warranties and covenants of Parent regarding its financial ability and financings sources, (ii) expanded “fiduciary out” provisions, including those applicable under certain circumstances in connection with a “intervening event,” (iii) a provision regarding the availability of specific performance in favor of the Company to cause Parent to enforce its agreements with its financing sources and (iv) edits to the offer conditions, including the removal of a condition regarding the contribution of the Rollover Shares to Parent as contemplated by the Support Agreements.</w:t>
      </w:r>
    </w:p>
    <w:p>
      <w:pPr>
        <w:spacing w:after="0" w:line="81" w:lineRule="exact"/>
        <w:rPr>
          <w:sz w:val="20"/>
          <w:szCs w:val="20"/>
          <w:color w:val="auto"/>
        </w:rPr>
      </w:pPr>
    </w:p>
    <w:p>
      <w:pPr>
        <w:ind w:left="300" w:right="379"/>
        <w:spacing w:after="0" w:line="277" w:lineRule="auto"/>
        <w:rPr>
          <w:sz w:val="20"/>
          <w:szCs w:val="20"/>
          <w:color w:val="auto"/>
        </w:rPr>
      </w:pPr>
      <w:r>
        <w:rPr>
          <w:rFonts w:ascii="Times New Roman" w:cs="Times New Roman" w:eastAsia="Times New Roman" w:hAnsi="Times New Roman"/>
          <w:sz w:val="17"/>
          <w:szCs w:val="17"/>
          <w:color w:val="auto"/>
        </w:rPr>
        <w:t>On February 17, 2026, representatives of Goodwin sent representatives of Mintz a draft of the contingent value rights agreement (the “</w:t>
      </w:r>
      <w:r>
        <w:rPr>
          <w:rFonts w:ascii="Times New Roman" w:cs="Times New Roman" w:eastAsia="Times New Roman" w:hAnsi="Times New Roman"/>
          <w:sz w:val="17"/>
          <w:szCs w:val="17"/>
          <w:b w:val="1"/>
          <w:bCs w:val="1"/>
          <w:color w:val="auto"/>
        </w:rPr>
        <w:t>Original CVR Agreement</w:t>
      </w:r>
      <w:r>
        <w:rPr>
          <w:rFonts w:ascii="Times New Roman" w:cs="Times New Roman" w:eastAsia="Times New Roman" w:hAnsi="Times New Roman"/>
          <w:sz w:val="17"/>
          <w:szCs w:val="17"/>
          <w:color w:val="auto"/>
        </w:rPr>
        <w:t>”), which provided for, among other things, (i) triggering the milestone payment upon obtaining all regulatory approvals necessary to broadly market and sell products that contain certepetide, including but not limited to any new drug application and pricing and reimbursement approval, and not including any conditional approval or accelerated regulatory approval, (ii) Parent having sole discretion and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decision making authority over whether and how much to invest in the development of products that contain certepetide, (iii) certain acknowledgements by the Company as to the absence of duties or assurances with respect to the potential achievement of the milestone and (iv) no level of efforts to achieve the milestone.</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February 22, 2026, representatives of Mintz sent representatives of Goodwin an updated draft of the</w:t>
      </w:r>
    </w:p>
    <w:p>
      <w:pPr>
        <w:spacing w:after="0" w:line="27"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Original CVR Agreement revised to, among other things, (i) trigger the milestone payment upon the filing or formal acceptance for review by any governmental authority of any new drug application, (ii) provide that Parent shall use its commercially reasonable efforts to achieve the milestone and (iii) remove the acknowledgements by the Company as to the absence of duties or assurances with respect to the potential achievement of the milestone.</w:t>
      </w:r>
    </w:p>
    <w:p>
      <w:pPr>
        <w:spacing w:after="0" w:line="81" w:lineRule="exact"/>
        <w:rPr>
          <w:sz w:val="20"/>
          <w:szCs w:val="20"/>
          <w:color w:val="auto"/>
        </w:rPr>
      </w:pPr>
    </w:p>
    <w:p>
      <w:pPr>
        <w:ind w:left="300" w:right="499"/>
        <w:spacing w:after="0" w:line="254" w:lineRule="auto"/>
        <w:rPr>
          <w:sz w:val="20"/>
          <w:szCs w:val="20"/>
          <w:color w:val="auto"/>
        </w:rPr>
      </w:pPr>
      <w:r>
        <w:rPr>
          <w:rFonts w:ascii="Times New Roman" w:cs="Times New Roman" w:eastAsia="Times New Roman" w:hAnsi="Times New Roman"/>
          <w:sz w:val="18"/>
          <w:szCs w:val="18"/>
          <w:color w:val="auto"/>
        </w:rPr>
        <w:t>On February 22, 2026, representatives of Goodwin sent representatives of Mintz a revised draft of the merger agreement, which among other things (i) revised the representations, warranties and covenants of Parent regarding its financial ability and financings sources to limit to equity sources only, (ii) narrowed the “fiduciary out” provisions, including by deleting those applicable under certain circumstances in connection with a “intervening event,” (iii) removed the provision regarding the availability of specific performance in favor of the Company to cause Parent to enforce its agreements with its financing sources and (iv) revised the offer conditions, including to reinsert a condition regarding the contribution of the Rollover Shares to Parent as contemplated by the Support Agreements.</w:t>
      </w:r>
    </w:p>
    <w:p>
      <w:pPr>
        <w:spacing w:after="0" w:line="84"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On February 23, 2026, representatives of Goodwin sent representatives of Mintz a revised draft of the Original CVR Agreement which, among other things, (i) revised the definition of commercially reasonable efforts to be used by Parent and (ii) reinserted acknowledgements by the Company as to the absence of duties or assurances with respect to the potential achievement of the milestone, subject to Parent’s obligation to use its commercially reasonable efforts to achieve the milestone, where applicable.</w:t>
      </w:r>
    </w:p>
    <w:p>
      <w:pPr>
        <w:spacing w:after="0" w:line="75"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In the morning of February 24, 2026, representatives of Mintz sent representatives of Goodwin a revised draft of the merger agreement, which among other things (i) reinserted “fiduciary out” provisions applicable under certain circumstances in connection with a “intervening event,” (ii) reinserted the provision regarding the availability of specific performance in favor of the Company to cause Parent to enforce its agreements with its financing sources and (iii) removed the offer condition regarding the contribution of the Rollover Shares to Parent as contemplated by the Support Agreements. In the afternoon of February 24, 2026, representatives of Mintz and representatives of Goodwin met via videoconference and discussed the revisions to the merger agreement.</w:t>
      </w:r>
    </w:p>
    <w:p>
      <w:pPr>
        <w:spacing w:after="0" w:line="81" w:lineRule="exact"/>
        <w:rPr>
          <w:sz w:val="20"/>
          <w:szCs w:val="20"/>
          <w:color w:val="auto"/>
        </w:rPr>
      </w:pPr>
    </w:p>
    <w:p>
      <w:pPr>
        <w:ind w:left="300" w:right="699"/>
        <w:spacing w:after="0" w:line="266" w:lineRule="auto"/>
        <w:rPr>
          <w:sz w:val="20"/>
          <w:szCs w:val="20"/>
          <w:color w:val="auto"/>
        </w:rPr>
      </w:pPr>
      <w:r>
        <w:rPr>
          <w:rFonts w:ascii="Times New Roman" w:cs="Times New Roman" w:eastAsia="Times New Roman" w:hAnsi="Times New Roman"/>
          <w:sz w:val="18"/>
          <w:szCs w:val="18"/>
          <w:color w:val="auto"/>
        </w:rPr>
        <w:t>On February 25, 2026, representatives of Mintz sent representatives of Goodwin an updated draft of the Original CVR Agreement which, among other things, further revised the definition of commercially reasonable efforts to be used by Parent.</w:t>
      </w:r>
    </w:p>
    <w:p>
      <w:pPr>
        <w:spacing w:after="0" w:line="68" w:lineRule="exact"/>
        <w:rPr>
          <w:sz w:val="20"/>
          <w:szCs w:val="20"/>
          <w:color w:val="auto"/>
        </w:rPr>
      </w:pPr>
    </w:p>
    <w:p>
      <w:pPr>
        <w:ind w:left="300" w:right="459"/>
        <w:spacing w:after="0" w:line="281" w:lineRule="auto"/>
        <w:rPr>
          <w:sz w:val="20"/>
          <w:szCs w:val="20"/>
          <w:color w:val="auto"/>
        </w:rPr>
      </w:pPr>
      <w:r>
        <w:rPr>
          <w:rFonts w:ascii="Times New Roman" w:cs="Times New Roman" w:eastAsia="Times New Roman" w:hAnsi="Times New Roman"/>
          <w:sz w:val="17"/>
          <w:szCs w:val="17"/>
          <w:color w:val="auto"/>
        </w:rPr>
        <w:t>On February 26, 2026, representatives of Goodwin sent representatives of Mintz a revised draft of the merger agreement, which among other things (i) removed the “fiduciary out” provisions applicable under certain circumstances in connection with a “intervening event,” and (ii) revised the provisions regarding the availability of specific performance in favor of the Company to cause Parent to enforce its agreements with its financing sources.</w:t>
      </w:r>
    </w:p>
    <w:p>
      <w:pPr>
        <w:spacing w:after="0" w:line="56" w:lineRule="exact"/>
        <w:rPr>
          <w:sz w:val="20"/>
          <w:szCs w:val="20"/>
          <w:color w:val="auto"/>
        </w:rPr>
      </w:pPr>
    </w:p>
    <w:p>
      <w:pPr>
        <w:ind w:left="300" w:right="699"/>
        <w:spacing w:after="0" w:line="266" w:lineRule="auto"/>
        <w:rPr>
          <w:sz w:val="20"/>
          <w:szCs w:val="20"/>
          <w:color w:val="auto"/>
        </w:rPr>
      </w:pPr>
      <w:r>
        <w:rPr>
          <w:rFonts w:ascii="Times New Roman" w:cs="Times New Roman" w:eastAsia="Times New Roman" w:hAnsi="Times New Roman"/>
          <w:sz w:val="18"/>
          <w:szCs w:val="18"/>
          <w:color w:val="auto"/>
        </w:rPr>
        <w:t>On February 26, 2026, the Company and Parent executed an amendment to the Binding Term Sheet thereby extending the term to March 7, 2026, which the Board approved by unanimous written consent on February 26, 2026.</w:t>
      </w:r>
    </w:p>
    <w:p>
      <w:pPr>
        <w:spacing w:after="0" w:line="68"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On February 27, 2026, representatives of Goodwin sent representatives of Mintz a revised draft of the Original CVR Agreement, which, among other things, further revised the definition of commercially reasonable efforts to be used by Parent.</w:t>
      </w:r>
    </w:p>
    <w:p>
      <w:pPr>
        <w:spacing w:after="0" w:line="68" w:lineRule="exact"/>
        <w:rPr>
          <w:sz w:val="20"/>
          <w:szCs w:val="20"/>
          <w:color w:val="auto"/>
        </w:rPr>
      </w:pPr>
    </w:p>
    <w:p>
      <w:pPr>
        <w:ind w:left="300" w:right="359"/>
        <w:spacing w:after="0" w:line="277" w:lineRule="auto"/>
        <w:rPr>
          <w:sz w:val="20"/>
          <w:szCs w:val="20"/>
          <w:color w:val="auto"/>
        </w:rPr>
      </w:pPr>
      <w:r>
        <w:rPr>
          <w:rFonts w:ascii="Times New Roman" w:cs="Times New Roman" w:eastAsia="Times New Roman" w:hAnsi="Times New Roman"/>
          <w:sz w:val="17"/>
          <w:szCs w:val="17"/>
          <w:color w:val="auto"/>
        </w:rPr>
        <w:t>On March 1, 2026, representatives of Mintz sent representatives of Goodwin a revised draft of the merger agreement, which among other things (i) included, in lieu of “fiduciary out” provisions applicable under certain circumstances in connection with a “intervening event,” certain additional exceptions to the procedures for a change of board recommendation under the merger agreement and (ii) revised the acknowledgment of the availability of specific performance in favor of the Company to cause Parent to enforce its agreements with its financing sources.</w:t>
      </w:r>
    </w:p>
    <w:p>
      <w:pPr>
        <w:spacing w:after="0" w:line="60" w:lineRule="exact"/>
        <w:rPr>
          <w:sz w:val="20"/>
          <w:szCs w:val="20"/>
          <w:color w:val="auto"/>
        </w:rPr>
      </w:pPr>
    </w:p>
    <w:p>
      <w:pPr>
        <w:ind w:left="300" w:right="479"/>
        <w:spacing w:after="0" w:line="289" w:lineRule="auto"/>
        <w:rPr>
          <w:sz w:val="20"/>
          <w:szCs w:val="20"/>
          <w:color w:val="auto"/>
        </w:rPr>
      </w:pPr>
      <w:r>
        <w:rPr>
          <w:rFonts w:ascii="Times New Roman" w:cs="Times New Roman" w:eastAsia="Times New Roman" w:hAnsi="Times New Roman"/>
          <w:sz w:val="17"/>
          <w:szCs w:val="17"/>
          <w:color w:val="auto"/>
        </w:rPr>
        <w:t>On March 3, 2026, representatives of Goodwin sent representatives of Mintz a copy of Parent’s executed capital commitment letter from Parent’s financing source, Omega &amp; Corinth Group Ltd (“</w:t>
      </w:r>
      <w:r>
        <w:rPr>
          <w:rFonts w:ascii="Times New Roman" w:cs="Times New Roman" w:eastAsia="Times New Roman" w:hAnsi="Times New Roman"/>
          <w:sz w:val="17"/>
          <w:szCs w:val="17"/>
          <w:b w:val="1"/>
          <w:bCs w:val="1"/>
          <w:color w:val="auto"/>
        </w:rPr>
        <w:t>Omega</w:t>
      </w:r>
      <w:r>
        <w:rPr>
          <w:rFonts w:ascii="Times New Roman" w:cs="Times New Roman" w:eastAsia="Times New Roman" w:hAnsi="Times New Roman"/>
          <w:sz w:val="17"/>
          <w:szCs w:val="17"/>
          <w:color w:val="auto"/>
        </w:rPr>
        <w:t>”). Representatives of Mintz requested recent bank or other account statements showing that Omega had the requisite amount of funds to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complete the tender offer and merger. Representatives of Goodwin sent a recent portfolio statement that showed cash and securities valued well in excess of the amount required to complete the tender offer and merger. In addition, representatives of Mintz requested a list of the certain non-executive stockholders who would sign Support Agreements.</w:t>
      </w:r>
    </w:p>
    <w:p>
      <w:pPr>
        <w:spacing w:after="0" w:line="72"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On March 3, 2026, the Board held a regularly scheduled meeting by videoconference, which was also attended by Company management and representatives of Mintz and Wainright. At this meeting, the Board, Company management and representatives of Mintz and Wainright discussed the status of negotiations with Parent and Goodwin. In addition, representatives of Mintz also provided a review of the Board's fiduciary duties and other legal aspects of the transaction.</w:t>
      </w:r>
    </w:p>
    <w:p>
      <w:pPr>
        <w:spacing w:after="0" w:line="75"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On March 4, 2026, representatives of Goodwin sent representatives of Mintz a revised draft of the merger agreement which, among other things, removed the certain additional exceptions to the procedures for a change of board recommendation under the merger agreement proposed in the March 1, 2026 draft of the merger agreement. In addition, representatives of Goodwin sent representatives of Mintz a list of the certain non-executive stockholders who would sign Support Agreements.</w:t>
      </w:r>
    </w:p>
    <w:p>
      <w:pPr>
        <w:spacing w:after="0" w:line="75" w:lineRule="exact"/>
        <w:rPr>
          <w:sz w:val="20"/>
          <w:szCs w:val="20"/>
          <w:color w:val="auto"/>
        </w:rPr>
      </w:pPr>
    </w:p>
    <w:p>
      <w:pPr>
        <w:jc w:val="both"/>
        <w:ind w:left="300" w:right="359"/>
        <w:spacing w:after="0" w:line="266" w:lineRule="auto"/>
        <w:rPr>
          <w:sz w:val="20"/>
          <w:szCs w:val="20"/>
          <w:color w:val="auto"/>
        </w:rPr>
      </w:pPr>
      <w:r>
        <w:rPr>
          <w:rFonts w:ascii="Times New Roman" w:cs="Times New Roman" w:eastAsia="Times New Roman" w:hAnsi="Times New Roman"/>
          <w:sz w:val="18"/>
          <w:szCs w:val="18"/>
          <w:color w:val="auto"/>
        </w:rPr>
        <w:t>On March 4, 2026 and March 5, 2026, representatives of Mintz and representatives of Goodwin exchanged multiple revised drafts of the merger agreement and Original CVR Agreement with incremental revisions intended to put the agreements in final form for execution, subject to approval of the Board.</w:t>
      </w:r>
    </w:p>
    <w:p>
      <w:pPr>
        <w:spacing w:after="0" w:line="68"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the early evening of March 5, 2026, the Board held a special meeting by videoconference, which was also attended by Company management and representatives of Mintz and Wainright. At this meeting the Board, Company management, and representatives of Mintz and representatives of Wainright discussed the key terms of the draft Original Merger Agreement and the Original CVR Agreement. Representatives of Mintz reviewed with the Board the fiduciary duties of the directors in connection with the consideration of the Original Merger Agreement. At the request of the Board, representatives of Wainright reviewed Wainright’s financial analysis of the Company and the offer price contemplated by the Original Merger Agreement, as proposed by Parent. At the conclusion of its analysis, a representative of Wainright rendered to the Board an oral opinion, which was subsequently confirmed by delivery of a written opinion, dated March 5, 2026, that, as of such date and based upon and subject to the various assumptions made, procedures followed, matters considered and qualifications and limitations upon the review undertaken in preparing its opinion, the offer price contemplated by the Original Merger Agreement was fair, from a financial point of view, to the holders of the Shares (other than the Excluded Shares).</w:t>
      </w:r>
    </w:p>
    <w:p>
      <w:pPr>
        <w:spacing w:after="0" w:line="82" w:lineRule="exact"/>
        <w:rPr>
          <w:sz w:val="20"/>
          <w:szCs w:val="20"/>
          <w:color w:val="auto"/>
        </w:rPr>
      </w:pPr>
    </w:p>
    <w:p>
      <w:pPr>
        <w:ind w:left="300" w:right="319"/>
        <w:spacing w:after="0" w:line="270" w:lineRule="auto"/>
        <w:rPr>
          <w:sz w:val="20"/>
          <w:szCs w:val="20"/>
          <w:color w:val="auto"/>
        </w:rPr>
      </w:pPr>
      <w:r>
        <w:rPr>
          <w:rFonts w:ascii="Times New Roman" w:cs="Times New Roman" w:eastAsia="Times New Roman" w:hAnsi="Times New Roman"/>
          <w:sz w:val="17"/>
          <w:szCs w:val="17"/>
          <w:color w:val="auto"/>
        </w:rPr>
        <w:t>Following discussion and review of the presentations made, matters considered and discussion of the benefits and risks of the proposed transaction, the Board unanimously (i) determined that the Original Merger Agreement and the contemplated transactions, including the tender offer and the merger contemplated by the Original Merger Agreement, were advisable and fair to, and in the best interests of, the Company and the holders of Common Shares,</w:t>
      </w:r>
    </w:p>
    <w:p>
      <w:pPr>
        <w:spacing w:after="0" w:line="3" w:lineRule="exact"/>
        <w:rPr>
          <w:sz w:val="20"/>
          <w:szCs w:val="20"/>
          <w:color w:val="auto"/>
        </w:rPr>
      </w:pPr>
    </w:p>
    <w:p>
      <w:pPr>
        <w:ind w:left="300" w:right="399" w:hanging="8"/>
        <w:spacing w:after="0" w:line="253" w:lineRule="auto"/>
        <w:tabs>
          <w:tab w:leader="none" w:pos="5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the Merger Agreement and approved the execution, delivery and performance by the Company of the Original Merger Agreement and the consummation of the contemplated transactions, including the tender offer and the merger contemplated by the Original Merger Agreement, and (iii) resolved to recommend that the holders of Common Shares accept the offer contemplated by the Original Merger Agreement and tender their Common Shares pursuant to the tender offer contemplated by the Original Merger Agreement.</w:t>
      </w:r>
    </w:p>
    <w:p>
      <w:pPr>
        <w:spacing w:after="0" w:line="79"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After the close of trading on Nasdaq on March 6, 2026, the parties executed the Merger Agreement, and the Company issued a press release announcing the execution of the Merger Agreement. A copy of this press release is filed as Exhibit (a)(5)(B) to this Schedule 14D-9 and incorporated herein by reference.</w:t>
      </w:r>
    </w:p>
    <w:p>
      <w:pPr>
        <w:spacing w:after="0" w:line="68"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At the request of Parent, in light of its efforts to obtain a variety of financing resources in addition to its capital commitment letter from Omega, on April 2, 2026, the Company, Parent and Purchaser agreed to extend the date by which Purchaser was obligated to commence the tender offer contemplated by the Original Merger Agreement.</w:t>
      </w:r>
    </w:p>
    <w:p>
      <w:pPr>
        <w:spacing w:after="0" w:line="68"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On April 2, 2026, the Company filed a Form 8-K with the SEC. The Form 8-K reflected that the Company, Parent and Purchaser agreed to a waiver to the Merger Agreement and agreed to extend the date by which Purchaser was obligated to commence the tender offer to April 13, 2026 or such other date as may have been agreed to between Parent and the Company.</w:t>
      </w:r>
    </w:p>
    <w:p>
      <w:pPr>
        <w:spacing w:after="0" w:line="72"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On April 12, 2026, Parent requested that the Company further extend the date by which Purchaser was obligated to commence the tender offer from April 13, 2026 to April 27, 2026, in order to allow Parent more time to obtain a variety of financing resources in addition to its capital commitment letter from Omega. The Company did not agree to an extension and Parent failed to commence the tender offer on April 13,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spacing w:after="0" w:line="261" w:lineRule="auto"/>
        <w:rPr>
          <w:sz w:val="20"/>
          <w:szCs w:val="20"/>
          <w:color w:val="auto"/>
        </w:rPr>
      </w:pPr>
      <w:r>
        <w:rPr>
          <w:rFonts w:ascii="Times New Roman" w:cs="Times New Roman" w:eastAsia="Times New Roman" w:hAnsi="Times New Roman"/>
          <w:sz w:val="18"/>
          <w:szCs w:val="18"/>
          <w:color w:val="auto"/>
        </w:rPr>
        <w:t>Between April 13, 2026 and April 15, 2026, representatives of Mintz and representatives of Goodwin exchanged correspondence regarding Parent’s failure to timely commence the tender offer, the status of Parent’s efforts to obtain financing resources on terms more favorable to Parent in addition to its capital commitment letter from Omega and Parent’s intent to finalize its financing and launch the tender offer expeditiously.</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On April 15, 2026, the Board held a special meeting by videoconference, which was attended by Company management and representatives of Mintz. At this meeting, the Board, Company management and representatives of Mintz discussed, among other things, the status of the transaction, the rights and remedies available to the Company under the Original Merger Agreement, the Company’s available strategic alternatives and the Company’s disclosure obligations. Following discussion, the Board instructed Company management to file a Form 8-K regarding the status of the transaction and to continue to discuss with Parent its financing and the timing of the commencement of the tender offer. On April 15, 2026, the Company filed the Form 8-K with the SEC. The Form 8-K reflected that (i) Purchaser had not yet commenced the tender offer, (ii) the Company had been informed by Parent that Parent was seeking alternative sources of financing on terms more favorable to Parent to fund the tender offer and intended to launch the tender offer when its financing was finalized, (iii) the Company was in discussions with Parent regarding the financing and timing of the commencement of the tender offer and (iv) there could be no assurance as to when the tender offer will commence, if at all.</w:t>
      </w:r>
    </w:p>
    <w:p>
      <w:pPr>
        <w:spacing w:after="0" w:line="82" w:lineRule="exact"/>
        <w:rPr>
          <w:sz w:val="20"/>
          <w:szCs w:val="20"/>
          <w:color w:val="auto"/>
        </w:rPr>
      </w:pPr>
    </w:p>
    <w:p>
      <w:pPr>
        <w:ind w:left="300" w:right="599"/>
        <w:spacing w:after="0" w:line="289" w:lineRule="auto"/>
        <w:rPr>
          <w:sz w:val="20"/>
          <w:szCs w:val="20"/>
          <w:color w:val="auto"/>
        </w:rPr>
      </w:pPr>
      <w:r>
        <w:rPr>
          <w:rFonts w:ascii="Times New Roman" w:cs="Times New Roman" w:eastAsia="Times New Roman" w:hAnsi="Times New Roman"/>
          <w:sz w:val="17"/>
          <w:szCs w:val="17"/>
          <w:color w:val="auto"/>
        </w:rPr>
        <w:t>Between April 15, 2026 and April 20, 2026, representatives of Mintz and representatives of Goodwin exchanged additional correspondence regarding the status of Parent’s efforts to obtain financing resources in addition to its capital commitment letter from Omega and Parent’s continued commitment to completing the transaction.</w:t>
      </w:r>
    </w:p>
    <w:p>
      <w:pPr>
        <w:spacing w:after="0" w:line="50"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On April 20, 2026, the Board held a special meeting by videoconference, which was attended by Company management and representatives of Mintz. At this meeting, the Board, Company management and representatives of Mintz again discussed, among other things, the status of the transaction, the rights and remedies available to the Company under the Original Merger Agreement, and the Company’s available strategic alternatives. Following discussion, the Board determined it was in the best interest of the Company and its stockholders to allow Parent more time to commence the tender offer, while reserving all available rights and remedies.</w:t>
      </w:r>
    </w:p>
    <w:p>
      <w:pPr>
        <w:spacing w:after="0" w:line="79" w:lineRule="exact"/>
        <w:rPr>
          <w:sz w:val="20"/>
          <w:szCs w:val="20"/>
          <w:color w:val="auto"/>
        </w:rPr>
      </w:pPr>
    </w:p>
    <w:p>
      <w:pPr>
        <w:ind w:left="300" w:right="599"/>
        <w:spacing w:after="0" w:line="289" w:lineRule="auto"/>
        <w:rPr>
          <w:sz w:val="20"/>
          <w:szCs w:val="20"/>
          <w:color w:val="auto"/>
        </w:rPr>
      </w:pPr>
      <w:r>
        <w:rPr>
          <w:rFonts w:ascii="Times New Roman" w:cs="Times New Roman" w:eastAsia="Times New Roman" w:hAnsi="Times New Roman"/>
          <w:sz w:val="17"/>
          <w:szCs w:val="17"/>
          <w:color w:val="auto"/>
        </w:rPr>
        <w:t>Between April 20, 2026 and April 22, 2026, representatives of Mintz and representatives of Goodwin exchanged additional correspondence regarding the status of Parent’s efforts to obtain financing resources in addition to its capital commitment letter from Omega and Parent’s continued commitment to completing the transaction.</w:t>
      </w:r>
    </w:p>
    <w:p>
      <w:pPr>
        <w:spacing w:after="0" w:line="50"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On April 23, 2026, Company management, representatives of Mintz, Mr. Land and representatives of Goodwin met via videoconference to discuss the status of the transaction. Mr. Land and representatives of Goodwin indicated (without providing specifics) that they were concerned about Omega’s responsiveness and reliability as a financing source, and that the time and costs involved in enforcing the capital commitment letter with Omega, if necessary, would be detrimental to the timing of the transaction and both the Company and Parent. Mr. Land expressed his continued commitment to completing the transaction and his confidence that he would be able to finalize Parent’s financing and commence the tender offer on April 28, 2026.</w:t>
      </w:r>
    </w:p>
    <w:p>
      <w:pPr>
        <w:spacing w:after="0" w:line="81"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On April 27, 2026, Company management, representatives of Mintz, Mr. Land and representatives of Goodwin met again via videoconference to discuss the status of the transaction. Mr. Land explained that Parent’s financing was not yet finalized and it would be unable to commence the tender offer on April 28, 2026. Mr. Land also expressed confidence in his ability to finalize Parent’s financing and commence the tender offer on April 30, 2026.</w:t>
      </w:r>
    </w:p>
    <w:p>
      <w:pPr>
        <w:spacing w:after="0" w:line="72"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Also on April 27, 2026, the Board held a special meeting by videoconference, which was attended by Company management and representatives of Mintz. At this meeting Company management and representatives of Mintz provided the Board with an update on its earlier conversation with Mr. Land and representatives of Goodwin. The Board, Company management and representatives of Mintz also discussed the negative effect Parent’s delays had on the Company’s available cash runway and the limited ability of the Company to tolerate additional delays. Following discussion, the Board instructed Company management to continue to urge Mr. Land to commence the tender offer on April 30, 2026, which Company management did after the meeting.</w:t>
      </w:r>
    </w:p>
    <w:p>
      <w:pPr>
        <w:spacing w:after="0" w:line="81"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On April 28, 2026, representatives of Mintz and representatives of Goodwin exchanged calls and emails regarding Parent’s ability to commence the tender offer by April 30, 2026.</w:t>
      </w:r>
    </w:p>
    <w:p>
      <w:pPr>
        <w:spacing w:after="0" w:line="54"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On April 29, 2026, Mr. Land informed the Company that he was going to request additional time to commence the tender offer, in exchange for covering the Company’s operating expenses during such extension period. On April 30, 2026, Mr. Land provided an email summary of such proposal, which provided for, among other things, that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79"/>
        <w:spacing w:after="0" w:line="272" w:lineRule="auto"/>
        <w:rPr>
          <w:sz w:val="20"/>
          <w:szCs w:val="20"/>
          <w:color w:val="auto"/>
        </w:rPr>
      </w:pPr>
      <w:r>
        <w:rPr>
          <w:rFonts w:ascii="Times New Roman" w:cs="Times New Roman" w:eastAsia="Times New Roman" w:hAnsi="Times New Roman"/>
          <w:sz w:val="17"/>
          <w:szCs w:val="17"/>
          <w:color w:val="auto"/>
        </w:rPr>
        <w:t>deadline to commence the tender offer would be extended to May 29, 2026, that payments at the end of each week to the Company to cover its operating expenses incurred during the preceding week and that Parent would issue a press release that it intends to commence the tender offer and remains committed to completing the transaction.</w:t>
      </w:r>
    </w:p>
    <w:p>
      <w:pPr>
        <w:spacing w:after="0" w:line="2" w:lineRule="exact"/>
        <w:rPr>
          <w:sz w:val="20"/>
          <w:szCs w:val="20"/>
          <w:color w:val="auto"/>
        </w:rPr>
      </w:pPr>
    </w:p>
    <w:p>
      <w:pPr>
        <w:ind w:left="300" w:right="859"/>
        <w:spacing w:after="0" w:line="260" w:lineRule="auto"/>
        <w:rPr>
          <w:sz w:val="20"/>
          <w:szCs w:val="20"/>
          <w:color w:val="auto"/>
        </w:rPr>
      </w:pPr>
      <w:r>
        <w:rPr>
          <w:rFonts w:ascii="Times New Roman" w:cs="Times New Roman" w:eastAsia="Times New Roman" w:hAnsi="Times New Roman"/>
          <w:sz w:val="18"/>
          <w:szCs w:val="18"/>
          <w:color w:val="auto"/>
        </w:rPr>
        <w:t>Company management requested that Mr. Land provide a draft of the agreement and separately discussed the proposal with members of the Board.</w:t>
      </w:r>
    </w:p>
    <w:p>
      <w:pPr>
        <w:spacing w:after="0" w:line="73"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On May 1, 2026, representatives of Goodwin sent representatives of Mintz a draft of the First Merger Agreement Amendment to document Parent’s proposal. The draft provided for, among other things, (i) the extension of the deadline to commence the tender offer until May 29, 2026, (ii) payments in the middle of each week during the extension period equal to the Company’s “operational cash spend” during such week, (iii) such payments being credited against any termination fee payable by Parent under the Merger Agreement and (iv) additional covenants in favor of Parent regarding the Company’s reduction of its operating expenses and compliance with certain disclosure obligations.</w:t>
      </w:r>
    </w:p>
    <w:p>
      <w:pPr>
        <w:spacing w:after="0" w:line="81"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Later in the evening of May 1, 2026, Company management sent Mr. Land a revised draft of the First Merger Agreement Amendment, prepared by representatives of Mintz and Company management, which, among other things, (i) provided for non-refundable payments due at the beginning of each week during the extension period in fixed amounts, (ii) deleted the provision crediting such payments against any termination fee payable by Parent under the Merger Agreement and (iii) deleted the additional covenants in Parent’s favor.</w:t>
      </w:r>
    </w:p>
    <w:p>
      <w:pPr>
        <w:spacing w:after="0" w:line="75"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On May 2, 2026, Company management and Mr. Land exchanged comments to the draft First Merger Agreement Amendment, primarily with respect to the schedule of payments thereunder.</w:t>
      </w:r>
    </w:p>
    <w:p>
      <w:pPr>
        <w:spacing w:after="0" w:line="54"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On May 3, 2026, the Board approved the First Merger Agreement Amendment by unanimous written consent and the Company, Parent and Purchaser executed the First Merger Agreement Amendment. The Company also filed a Form 8-K with the SEC disclosing the terms of the First Merger Agreement Amendment. The First Merger Agreement Amendment obligated Parent to make the following payments to the Company: (i) $175,000 on May 5, 2026, (ii) $175,000 on May 7, 2026, (iii) $250,000 on May 12, 2026, (iv) $250,000 on May 19, 2026 and (v) $250,000 on May 26, 2026.</w:t>
      </w:r>
    </w:p>
    <w:p>
      <w:pPr>
        <w:spacing w:after="0" w:line="7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On May 5, 2026, the Parent wired the Company $95,000. Between May 5, 2026 and May 8, 2026, Company management communicated with Mr. Land regarding Parent’s failure to timely pay the entire May 5, 2026 payment and the May 7, 2026 payment. On May 8, 2026, Parent wired the Company $255,000, representing the May 7, 2026 payment and the remaining portion of the May 5, 2026 payment.</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May 12, 2026, Parent failed to make the May 12, 2026 payment. On May 13, 2026, Mr. Land informed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management that Parent would make the May 12, 2026 payment on May 14, 2026. As of May 15,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Parent had still not made the payment that was due on May 12, 2026.</w:t>
      </w:r>
    </w:p>
    <w:p>
      <w:pPr>
        <w:spacing w:after="0" w:line="99"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On May 15, 2026, representatives of Mintz met with representatives of Goodwin via videoconference to discuss Parent’s failure to timely remit the payments due under the First Merger Agreement Amendment, the negative effect that had on the Company’s view of Parent’s credibility and the Company’s insistence that Parent pay the amounts owed and commence the tender offer before the May 29, 2026 deadline contemplated by the First Merger Agreement Amendment.</w:t>
      </w:r>
    </w:p>
    <w:p>
      <w:pPr>
        <w:spacing w:after="0" w:line="75" w:lineRule="exact"/>
        <w:rPr>
          <w:sz w:val="20"/>
          <w:szCs w:val="20"/>
          <w:color w:val="auto"/>
        </w:rPr>
      </w:pPr>
    </w:p>
    <w:p>
      <w:pPr>
        <w:jc w:val="both"/>
        <w:ind w:left="300" w:right="359"/>
        <w:spacing w:after="0" w:line="258" w:lineRule="auto"/>
        <w:rPr>
          <w:sz w:val="20"/>
          <w:szCs w:val="20"/>
          <w:color w:val="auto"/>
        </w:rPr>
      </w:pPr>
      <w:r>
        <w:rPr>
          <w:rFonts w:ascii="Times New Roman" w:cs="Times New Roman" w:eastAsia="Times New Roman" w:hAnsi="Times New Roman"/>
          <w:sz w:val="18"/>
          <w:szCs w:val="18"/>
          <w:color w:val="auto"/>
        </w:rPr>
        <w:t>On May 18, 2026, Mr. Land emailed the chairman of the Board to communicate, among other things, (i) that Parent would make the payment under the First Merger Agreement Amendment that was due on May 12, 2026 on May 20, 2026, (ii) that Parent would make the payment under the First Merger Agreement Amendment due on May 19, 2026 on May 22, 2026, (iii) that, on May 22, 2026, Parent would provide the Company with confirmation of its financing and a clear timeline for the commencement of the tender offer.</w:t>
      </w:r>
    </w:p>
    <w:p>
      <w:pPr>
        <w:spacing w:after="0" w:line="75" w:lineRule="exact"/>
        <w:rPr>
          <w:sz w:val="20"/>
          <w:szCs w:val="20"/>
          <w:color w:val="auto"/>
        </w:rPr>
      </w:pPr>
    </w:p>
    <w:p>
      <w:pPr>
        <w:ind w:left="300" w:right="379"/>
        <w:spacing w:after="0" w:line="271" w:lineRule="auto"/>
        <w:rPr>
          <w:sz w:val="20"/>
          <w:szCs w:val="20"/>
          <w:color w:val="auto"/>
        </w:rPr>
      </w:pPr>
      <w:r>
        <w:rPr>
          <w:rFonts w:ascii="Times New Roman" w:cs="Times New Roman" w:eastAsia="Times New Roman" w:hAnsi="Times New Roman"/>
          <w:sz w:val="17"/>
          <w:szCs w:val="17"/>
          <w:color w:val="auto"/>
        </w:rPr>
        <w:t>On May 20, 2026, the Board held a special meeting by videoconference, which was attended by Company management and representatives of Mintz. At this meeting Company management and representatives of Mintz provided the Board with an update on the latest communications with Mr. Land and representatives of Goodwin. The Board, Company management and representatives of Mintz also discussed, among other things, (i) the negative effect Parent’s failure to timely make the payments due under the First Merger Agreement Amendment had on the Company’s available cash runway, including to further limit the Company’s ability to tolerate additional delays in the commencement of the tender offer, (ii) the Company’s other potential strategic alternatives and (iii) various contingency plans if Parent failed to fulfill the promises outlined in its May 18, 2026 email to the chairman of the Board, including the possibility of renegotiating the terms of the transaction if necessary to improve deal certainty.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May 20, 2026, Parent wired the Company the $250,000 payment that was due on May 12, 2026.</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May 22, 2026, Parent wired the Company the $250,000 payment that was due on May 19, 2026.</w:t>
      </w:r>
    </w:p>
    <w:p>
      <w:pPr>
        <w:spacing w:after="0" w:line="117" w:lineRule="exact"/>
        <w:rPr>
          <w:sz w:val="20"/>
          <w:szCs w:val="20"/>
          <w:color w:val="auto"/>
        </w:rPr>
      </w:pPr>
    </w:p>
    <w:p>
      <w:pPr>
        <w:ind w:left="300" w:right="499"/>
        <w:spacing w:after="0" w:line="256" w:lineRule="auto"/>
        <w:rPr>
          <w:sz w:val="20"/>
          <w:szCs w:val="20"/>
          <w:color w:val="auto"/>
        </w:rPr>
      </w:pPr>
      <w:r>
        <w:rPr>
          <w:rFonts w:ascii="Times New Roman" w:cs="Times New Roman" w:eastAsia="Times New Roman" w:hAnsi="Times New Roman"/>
          <w:sz w:val="18"/>
          <w:szCs w:val="18"/>
          <w:color w:val="auto"/>
        </w:rPr>
        <w:t>On May 23, 2026, Mr. Land sent Company management a proposal to amend the Original Merger Agreement to decrease the amount of cash per share to be paid at the closing of the transaction from $5.00 per share to $4.00 per share and replace the Original CVR Agreement (the previously agreed form of which was attached to the Original Merger Agreement) with a copy revised to add an additional milestone payment of $1.00 per share payable in December of 2026 and increase the existing milestone payment from $1.00 per share to $2.00 per share. Mr. Land noted that doing so would allow Parent to commence the tender offer by May 29, 2026.</w:t>
      </w:r>
    </w:p>
    <w:p>
      <w:pPr>
        <w:spacing w:after="0" w:line="79"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On May 23, 2026, Company management and representatives of Mintz discussed the proposal. Following discussion, Company management emailed Mr. Land to, among other things, note that the Board would review his proposal and to request that he instruct Parent’s counsel to send drafts of the proposed amendments of the Original Merger Agreement and Original CVR Agreement for review.</w:t>
      </w:r>
    </w:p>
    <w:p>
      <w:pPr>
        <w:spacing w:after="0" w:line="72"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Between May 23, 2026 and May 26, 2026, Company management and Mr. Land discussed the proposal multiple times and interacted on its terms before reaching an understanding to amend the Original Merger Agreement to decrease the cash per share to be paid at the closing of the transaction from $5.00 per share to $4.00 per share and replace the Original CVR Agreement with an amended version revised to add an additional milestone payment of $1.25 per share payable in December of 2026 and increase the existing milestone payment from $1.00 per share to $1.75 per share. During the same period, in parallel, Company management separately reviewed the proposal and its iteration with the members of the Board, each of whom was supportive of accepting the proposal in order to improve deal certainty.</w:t>
      </w:r>
    </w:p>
    <w:p>
      <w:pPr>
        <w:spacing w:after="0" w:line="84"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On May 27, 2026, representatives of Goodwin sent representatives of Mintz a draft of the Second Merger Agreement Amendment and a draft of the contingent value rights agreement (the “</w:t>
      </w:r>
      <w:r>
        <w:rPr>
          <w:rFonts w:ascii="Times New Roman" w:cs="Times New Roman" w:eastAsia="Times New Roman" w:hAnsi="Times New Roman"/>
          <w:sz w:val="18"/>
          <w:szCs w:val="18"/>
          <w:b w:val="1"/>
          <w:bCs w:val="1"/>
          <w:color w:val="auto"/>
        </w:rPr>
        <w:t>CVR Agreement</w:t>
      </w:r>
      <w:r>
        <w:rPr>
          <w:rFonts w:ascii="Times New Roman" w:cs="Times New Roman" w:eastAsia="Times New Roman" w:hAnsi="Times New Roman"/>
          <w:sz w:val="18"/>
          <w:szCs w:val="18"/>
          <w:color w:val="auto"/>
        </w:rPr>
        <w:t>”). The Second Merger Agreement Amendment provided for a decrease in the amount of cash per share to be paid at the closing of the transaction from $5.00 per share to $4.00 per share and replaced the Original CVR Agreement attached to the Original Merger Agreement with the CVR Agreement. The CVR Agreement revised the Original CVR Agreement attached to the Original Merger Agreement to, among other things, include a milestone payment of $1.25 per share to be paid upon completion of enrollment of the LSTA1-GBM-2A proof-of-concept study.</w:t>
      </w:r>
    </w:p>
    <w:p>
      <w:pPr>
        <w:spacing w:after="0" w:line="8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Later in the day on May 27, 2026, following discussion between representatives of Mintz and Company management, representatives of Mintz sent representatives of Goodwin revised drafts of the Second Merger Agreement Amendment and CVR Agreement. The revised Second Merger Agreement Amendment included an additional interim operating payment of $250,000 due one business day after the execution of the Second Merger Agreement Amendment. The revised CVR Agreement, among other things, broadened the trigger for the $1.25 per share milestone payment from the completion of enrollment for the LSTA1-GBM-2A proof-of-concept study to the earlier of (x) the completion of enrollment of the LSTA1-GBM-2A proof-of-concept study, (y) enrollment of 90% of the target number of subjects for the LSTA1-GBM-2A proof-of-concept study and (z) the termination of the LSTA1-GBM-2A proof-of-concept study for any reason.</w:t>
      </w:r>
    </w:p>
    <w:p>
      <w:pPr>
        <w:spacing w:after="0" w:line="80"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In the evening of May 27, 2026, representatives of Goodwin sent representatives of Mintz revised drafts of the Second Merger Agreement Amendment and CVR Agreement. The revised Second Merger Agreement Amendment rejected the additional interim operating payment of $250,000 due one business day after the execution of the Second Merger Agreement Amendment. The revised CVR Agreement, among other things, narrowed the trigger for the $1.25 per share milestone payment to enrollment of 90% of the target number of subjects for the LSTA1-GBM-2A proof-of-concept study.</w:t>
      </w:r>
    </w:p>
    <w:p>
      <w:pPr>
        <w:spacing w:after="0" w:line="79"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Later on May 27, 2026, representatives of Mintz sent representatives of Goodwin a revised draft of the CVR Agreement accepting the narrower trigger for the payment of the $1.25 per share milestone payment, but adding an obligation that Parent use its best efforts to achieve such milestone.</w:t>
      </w:r>
    </w:p>
    <w:p>
      <w:pPr>
        <w:spacing w:after="0" w:line="68" w:lineRule="exact"/>
        <w:rPr>
          <w:sz w:val="20"/>
          <w:szCs w:val="20"/>
          <w:color w:val="auto"/>
        </w:rPr>
      </w:pPr>
    </w:p>
    <w:p>
      <w:pPr>
        <w:ind w:left="300" w:right="319"/>
        <w:spacing w:after="0" w:line="277" w:lineRule="auto"/>
        <w:rPr>
          <w:sz w:val="20"/>
          <w:szCs w:val="20"/>
          <w:color w:val="auto"/>
        </w:rPr>
      </w:pPr>
      <w:r>
        <w:rPr>
          <w:rFonts w:ascii="Times New Roman" w:cs="Times New Roman" w:eastAsia="Times New Roman" w:hAnsi="Times New Roman"/>
          <w:sz w:val="17"/>
          <w:szCs w:val="17"/>
          <w:color w:val="auto"/>
        </w:rPr>
        <w:t>On May 28, 2026, Company management, representatives of Mintz, Mr. Land and representatives of Goodwin met via videoconference to discuss the revised draft of the CVR Agreement. Company management and Mr. Land agreed to revise the draft CVR Agreement to remove the best efforts standard and revise the trigger for the $1.25 per share milestone payment from the completion of enrollment for the LSTA1-GBM-2A proof-of-concept study to the earlier of (x) the completion of enrollment of the LSTA1-GBM-2A proof-of-concept study, (y) enrollment of 90% of</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target number of subjects for the LSTA1-GBM-2A proof-of-concept study and (z) the termination of the LSTA1-GBM-2A proof-of-concept study by its sponsor for any reason. Representatives of Mintz circulated a revision of the CVR Agreement to that effect following the meeting.</w:t>
      </w:r>
    </w:p>
    <w:p>
      <w:pPr>
        <w:spacing w:after="0" w:line="68"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On May 29, 2026, the Board held a special meeting by video conference, which was also attended by Company management and representatives of Mintz and Wainright. At this meeting the Board, Company management, and representatives of Mintz and representatives of Wainright discussed the key terms of the draft Second Merger Agreement Amendment and the CVR Agreement. Representatives of Mintz reviewed with the Board the fiduciary duties of the directors in connection with the consideration of the Second Merger Agreement Amendment and the CVR Agreement. At the request of the Board, representatives of Wainright reviewed Wainright’s financial analysis of the Company and the Offer Price contemplated by the Merger Agreement, as proposed by Parent. At the conclusion of its analysis, a representative of Wainright rendered to the Board an oral opinion, which was subsequently confirmed by delivery of a written opinion, dated May 29, 2026, that, as of such date and based upon and subject to the various assumptions made, procedures followed, matters considered and qualifications and limitations upon the review undertaken in preparing its opinion, the Offer Price contemplated by the Merger Agreement was fair, from a financial point of view, to the holders of the Shares (other than the Excluded Shares). For a detailed discussion of Wainright’s opinion, please see below under the caption “</w:t>
      </w:r>
      <w:r>
        <w:rPr>
          <w:rFonts w:ascii="Times New Roman" w:cs="Times New Roman" w:eastAsia="Times New Roman" w:hAnsi="Times New Roman"/>
          <w:sz w:val="18"/>
          <w:szCs w:val="18"/>
          <w:i w:val="1"/>
          <w:iCs w:val="1"/>
          <w:color w:val="auto"/>
        </w:rPr>
        <w:t>Opinion of H.C. Wainwright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 LLC</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Following discussion and review of the presentations made, matters considered and discussion of the benefits and risks of the proposed transaction, the Board unanimously (i) determined that the Merger Agreement and the contemplated transactions, including the Offer and the Merger contemplated by the Merger Agreement, were advisable and fair to, and in the best interests of, the Company and the holders of Common Shares, (ii) adopted the Merger Agreement and approved the execution, delivery and performance by the Company of the Merger Agreement and the consummation of the contemplated transactions, including the Offer and the Merger, and (iii) resolved to recommend that the holders of Common Shares accept the Offer and tender their Common Shares pursuant to the Offer. See the section captioned “</w:t>
      </w:r>
      <w:r>
        <w:rPr>
          <w:rFonts w:ascii="Times New Roman" w:cs="Times New Roman" w:eastAsia="Times New Roman" w:hAnsi="Times New Roman"/>
          <w:sz w:val="18"/>
          <w:szCs w:val="18"/>
          <w:i w:val="1"/>
          <w:iCs w:val="1"/>
          <w:color w:val="auto"/>
        </w:rPr>
        <w:t>Item 4. The Solicitation or Recommendation — Recommendation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Board; Reasons for the Recommendation</w:t>
      </w:r>
      <w:r>
        <w:rPr>
          <w:rFonts w:ascii="Times New Roman" w:cs="Times New Roman" w:eastAsia="Times New Roman" w:hAnsi="Times New Roman"/>
          <w:sz w:val="18"/>
          <w:szCs w:val="18"/>
          <w:color w:val="auto"/>
        </w:rPr>
        <w:t>” for further information on the Board’s recommendation and reasons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recommendation.</w:t>
      </w:r>
    </w:p>
    <w:p>
      <w:pPr>
        <w:spacing w:after="0" w:line="86"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As reported in the Company’s Form 8-K filed with the SEC on the morning of June 1, 2026, on the evening of May 31, 2026, Parent informed the Company that Parent would not be commencing the Offer on June 1, 2026, as it previously disclosed and as agreed upon in the Second Merger Agreement Amendment. Parent advised the Company that it was negotiating with its potential financing sources and was evaluating the timing of commencement of the Offer.</w:t>
      </w:r>
    </w:p>
    <w:p>
      <w:pPr>
        <w:spacing w:after="0" w:line="75"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On June 1, 2026, the Board held a special meeting by videoconference, which was attended by Company management and representatives of Mintz. The Board, Company management and representatives of Mintz discussed, among other things, (i) the failure of Parent to commence the Offer on June 1, 2026, (ii) the rights and remedies available to the Company under the Second Merger Agreement Amendment, (iii) the Company’s available cash runway, (iv) the Company’s other potential strategic alternatives and (v) whether to terminate the Merger Agreement or negotiate with Parent an extension to the deadline to commence the Offer. Following discussion, the Board directed Company management to request a clear timeline by which Parent believed it would commence the Offer and to begin negotiating an extension to the deadline to commence the Offer.</w:t>
      </w:r>
    </w:p>
    <w:p>
      <w:pPr>
        <w:spacing w:after="0" w:line="84"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Between June 1, 2026 and June 5, 2026, Mr. Land and Dr. Mazzo had several discussions regarding the timeline by which Parent believed it would commence the Offer. Mr. Land informed Dr. Mazzo that Parent was seeking a new law firm to replace Goodwin in representing Parent in connection with the transaction and that he believed Parent could commence the Offer on or about June 9, 2026. On June 5, 2026, Parent informed the Company that Parent engaged Reed Smith LLP (“</w:t>
      </w:r>
      <w:r>
        <w:rPr>
          <w:rFonts w:ascii="Times New Roman" w:cs="Times New Roman" w:eastAsia="Times New Roman" w:hAnsi="Times New Roman"/>
          <w:sz w:val="18"/>
          <w:szCs w:val="18"/>
          <w:b w:val="1"/>
          <w:bCs w:val="1"/>
          <w:color w:val="auto"/>
        </w:rPr>
        <w:t>Reed Smith</w:t>
      </w:r>
      <w:r>
        <w:rPr>
          <w:rFonts w:ascii="Times New Roman" w:cs="Times New Roman" w:eastAsia="Times New Roman" w:hAnsi="Times New Roman"/>
          <w:sz w:val="18"/>
          <w:szCs w:val="18"/>
          <w:color w:val="auto"/>
        </w:rPr>
        <w:t>”) to represent Parent in connection with the transaction.</w:t>
      </w:r>
    </w:p>
    <w:p>
      <w:pPr>
        <w:spacing w:after="0" w:line="75"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On June 6, 2026, representatives of Mintz and representatives of Reed Smith met via teleconference to discuss the transaction status, timeline and documentation required to extend the deadline to commence the Offer. On June 6, 2026, representatives of Reed Smith sent representatives of Mintz a draft of the Third Merger Agreement Amendment. The draft Third Merger Agreement Amendment provided for, among other things, (i) a covenant not to assert or pursue any claim against Parent or Purchaser or their Affiliates arising from or related to the Merger Agreement, (ii) an extension of the deadline to commence the Offer from June 1, 2026 to June 10, 2026, (iii) a waiver of any claims to the extent arising from or relating to Purchaser’s failure to commence the Offer by June 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7" w:lineRule="auto"/>
        <w:rPr>
          <w:sz w:val="20"/>
          <w:szCs w:val="20"/>
          <w:color w:val="auto"/>
        </w:rPr>
      </w:pPr>
      <w:r>
        <w:rPr>
          <w:rFonts w:ascii="Times New Roman" w:cs="Times New Roman" w:eastAsia="Times New Roman" w:hAnsi="Times New Roman"/>
          <w:sz w:val="18"/>
          <w:szCs w:val="18"/>
          <w:color w:val="auto"/>
        </w:rPr>
        <w:t>2026, conditioned upon the commencement of the Offer, (iv) an extension of the Outside Date from July 6, 2026 to July 17, 2026, (v) an extension of the deadline to pay the Company the $250,000 interim operating payment that was due under the First Merger Agreement Amendment on May 26, 2026, from May 26, 2026 to June 26, 2026, and</w:t>
      </w:r>
    </w:p>
    <w:p>
      <w:pPr>
        <w:spacing w:after="0" w:line="1" w:lineRule="exact"/>
        <w:rPr>
          <w:sz w:val="20"/>
          <w:szCs w:val="20"/>
          <w:color w:val="auto"/>
        </w:rPr>
      </w:pPr>
    </w:p>
    <w:p>
      <w:pPr>
        <w:ind w:left="300" w:right="319" w:hanging="8"/>
        <w:spacing w:after="0" w:line="253" w:lineRule="auto"/>
        <w:tabs>
          <w:tab w:leader="none" w:pos="6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replacement of the representation in the Original Merger Agreement regarding Parent’s financial ability with certain representations and covenants regarding its anticipated sources of financing, including agreeing to use its commercially reasonable efforts to arrange and obtain alternative financing from alternative sources on terms no less favorable to Parent than its anticipated sources of financing if its anticipated sources of financing become unavailable.</w:t>
      </w:r>
    </w:p>
    <w:p>
      <w:pPr>
        <w:spacing w:after="0" w:line="79" w:lineRule="exact"/>
        <w:rPr>
          <w:sz w:val="20"/>
          <w:szCs w:val="20"/>
          <w:color w:val="auto"/>
        </w:rPr>
      </w:pPr>
    </w:p>
    <w:p>
      <w:pPr>
        <w:ind w:left="300" w:right="319"/>
        <w:spacing w:after="0" w:line="270" w:lineRule="auto"/>
        <w:rPr>
          <w:sz w:val="20"/>
          <w:szCs w:val="20"/>
          <w:color w:val="auto"/>
        </w:rPr>
      </w:pPr>
      <w:r>
        <w:rPr>
          <w:rFonts w:ascii="Times New Roman" w:cs="Times New Roman" w:eastAsia="Times New Roman" w:hAnsi="Times New Roman"/>
          <w:sz w:val="17"/>
          <w:szCs w:val="17"/>
          <w:color w:val="auto"/>
        </w:rPr>
        <w:t>On June 7, 2026, representatives of Mintz sent representatives of Reed Smith a revised draft of the Third Merger Agreement Amendment. The revised draft Third Merger Agreement Amendment, among other things, (i) limited the covenant not to assert or pursue any claim against Parent or Purchaser or their Affiliates arising from or related to the Merger Agreement to the period from the date of the Third Merger Agreement Amendment until June 10, 2026,</w:t>
      </w:r>
    </w:p>
    <w:p>
      <w:pPr>
        <w:spacing w:after="0" w:line="3" w:lineRule="exact"/>
        <w:rPr>
          <w:sz w:val="20"/>
          <w:szCs w:val="20"/>
          <w:color w:val="auto"/>
        </w:rPr>
      </w:pPr>
    </w:p>
    <w:p>
      <w:pPr>
        <w:ind w:left="300" w:right="339" w:hanging="8"/>
        <w:spacing w:after="0" w:line="251" w:lineRule="auto"/>
        <w:tabs>
          <w:tab w:leader="none" w:pos="5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the extension of the deadline to pay the Company the $250,000 interim operating payment, (iii) in lieu of replacing the representation in the Original Merger Agreement regarding Parent’s financial ability, removed the Company’s ability to terminate the Merger Agreement for breaches of such representation or the covenant in the Original Merger Agreement regarding Parent’s financing efforts, and (iv) revised the new representations and covenants regarding Parent’s anticipated sources of financing to require the use of best efforts to arrange and obtain alternative financing from alternative sources. The revised Third Merger Agreement Amendment also added sections providing, in the alternative, for either (x) a revised termination fee payable by Parent to the Company in the amount of $4,000,000 if the Company terminated the Merger Agreement as a result of either certain breaches of the Merger Agreement by Parent or the failure of the Closing to occur on or prior to the Outside Date, with an accompanying limited guaranty of payment of the termination fee from Mr. Land or (y) an up-front extension fee of $1,500,000 payable upon execution of the Third Merger Agreement Amendment.</w:t>
      </w:r>
    </w:p>
    <w:p>
      <w:pPr>
        <w:spacing w:after="0" w:line="84" w:lineRule="exact"/>
        <w:rPr>
          <w:sz w:val="20"/>
          <w:szCs w:val="20"/>
          <w:color w:val="auto"/>
        </w:rPr>
      </w:pPr>
    </w:p>
    <w:p>
      <w:pPr>
        <w:ind w:left="300" w:right="839"/>
        <w:spacing w:after="0" w:line="266" w:lineRule="auto"/>
        <w:rPr>
          <w:sz w:val="20"/>
          <w:szCs w:val="20"/>
          <w:color w:val="auto"/>
        </w:rPr>
      </w:pPr>
      <w:r>
        <w:rPr>
          <w:rFonts w:ascii="Times New Roman" w:cs="Times New Roman" w:eastAsia="Times New Roman" w:hAnsi="Times New Roman"/>
          <w:sz w:val="18"/>
          <w:szCs w:val="18"/>
          <w:color w:val="auto"/>
        </w:rPr>
        <w:t>On June 7, 2026, Dr. Mazzo and Mr. Land discussed the Company’s proposed revisions to the Third Merger Agreement Amendment. Dr. Mazzo requested that Mr. Land consider with Parent’s counsel a “best and final” counterproposal for the Board to consider at its meeting on June 8, 2026.</w:t>
      </w:r>
    </w:p>
    <w:p>
      <w:pPr>
        <w:spacing w:after="0" w:line="68"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On June 8, 2026, Dr. Mazzo, representatives of Mintz, Mr. Land and representatives of Reed Smith met via videoconference to discuss the Third Merger Agreement Amendment. Dr. Mazzo and Mr. Land agreed to revise the extension of the deadline to pay the Company the $250,000 interim operating payment. In lieu of Company’s proposed revisions to the termination fee and accompanying limited guaranty and up-front extension fee, Mr. Land and representatives of Reed Smith proposed, among other things, an extension fee of $1,500,000 payable at Parent’s option to extend the outside date from July 17, 2026 to August 17, 2026. Representatives of Mintz and representatives of Reed Smith exchanged revised drafts of the Third Merger Agreement Amendment to reflect the foregoing, which Parent requested Company management present to the Board as Parent’s “best and final” counterproposal.</w:t>
      </w:r>
    </w:p>
    <w:p>
      <w:pPr>
        <w:spacing w:after="0" w:line="80" w:lineRule="exact"/>
        <w:rPr>
          <w:sz w:val="20"/>
          <w:szCs w:val="20"/>
          <w:color w:val="auto"/>
        </w:rPr>
      </w:pPr>
    </w:p>
    <w:p>
      <w:pPr>
        <w:ind w:left="300" w:right="319"/>
        <w:spacing w:after="0" w:line="270" w:lineRule="auto"/>
        <w:rPr>
          <w:sz w:val="20"/>
          <w:szCs w:val="20"/>
          <w:color w:val="auto"/>
        </w:rPr>
      </w:pPr>
      <w:r>
        <w:rPr>
          <w:rFonts w:ascii="Times New Roman" w:cs="Times New Roman" w:eastAsia="Times New Roman" w:hAnsi="Times New Roman"/>
          <w:sz w:val="17"/>
          <w:szCs w:val="17"/>
          <w:color w:val="auto"/>
        </w:rPr>
        <w:t>On June 8, 2026, the Board held a special meeting by videoconference, which was attended by Company management and representatives of Mintz. The Board, Company management and representatives of Mintz discussed, among other things, (i) the course of negotiation and proposed terms of the draft Third Merger Agreement Amendment, (ii) the Company’s available cash runway, (iii) the Company’s other potential strategic alternatives and</w:t>
      </w:r>
    </w:p>
    <w:p>
      <w:pPr>
        <w:spacing w:after="0" w:line="3" w:lineRule="exact"/>
        <w:rPr>
          <w:sz w:val="20"/>
          <w:szCs w:val="20"/>
          <w:color w:val="auto"/>
        </w:rPr>
      </w:pPr>
    </w:p>
    <w:p>
      <w:pPr>
        <w:ind w:left="300" w:right="539" w:hanging="8"/>
        <w:spacing w:after="0" w:line="260" w:lineRule="auto"/>
        <w:tabs>
          <w:tab w:leader="none" w:pos="6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terminate the Merger Agreement or approve the Third Merger Agreement Amendment. Following discussion, the Board authorized and approved the Third Merger Agreement Amendment.</w:t>
      </w:r>
    </w:p>
    <w:p>
      <w:pPr>
        <w:spacing w:after="0" w:line="73"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The Company, Parent and Purchaser entered into the Third Merger Agreement Amendment on June 8, 2026 and the Company filed a Form 8-K with the SEC disclosing the terms of the Third Merger Agreement Amendment on June 9, 2026.</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June 10, 2026, Purchaser commenced the Offer.</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Recommendation of the Board</w:t>
      </w:r>
    </w:p>
    <w:p>
      <w:pPr>
        <w:spacing w:after="0" w:line="121" w:lineRule="exact"/>
        <w:rPr>
          <w:sz w:val="20"/>
          <w:szCs w:val="20"/>
          <w:color w:val="auto"/>
        </w:rPr>
      </w:pPr>
    </w:p>
    <w:p>
      <w:pPr>
        <w:ind w:left="300" w:right="439"/>
        <w:spacing w:after="0" w:line="277" w:lineRule="auto"/>
        <w:rPr>
          <w:sz w:val="20"/>
          <w:szCs w:val="20"/>
          <w:color w:val="auto"/>
        </w:rPr>
      </w:pPr>
      <w:r>
        <w:rPr>
          <w:rFonts w:ascii="Times New Roman" w:cs="Times New Roman" w:eastAsia="Times New Roman" w:hAnsi="Times New Roman"/>
          <w:sz w:val="17"/>
          <w:szCs w:val="17"/>
          <w:color w:val="auto"/>
        </w:rPr>
        <w:t>In evaluating the Merger Agreement and the Transactions, including the Offer and the Merger, the Board consulted with the Company’s senior management and its legal and financial advisors. In the course of reaching its determination that the terms of the Merger Agreement and the Transactions, including the Offer and the Merger are advisable and in the best interests of the Company and its stockholders and to recommend that holders of Shares accept the Offer and tender their Shares in the Offer, the Board reviewed, evaluated, and considered a significant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spacing w:after="0" w:line="289" w:lineRule="auto"/>
        <w:rPr>
          <w:sz w:val="20"/>
          <w:szCs w:val="20"/>
          <w:color w:val="auto"/>
        </w:rPr>
      </w:pPr>
      <w:r>
        <w:rPr>
          <w:rFonts w:ascii="Times New Roman" w:cs="Times New Roman" w:eastAsia="Times New Roman" w:hAnsi="Times New Roman"/>
          <w:sz w:val="17"/>
          <w:szCs w:val="17"/>
          <w:color w:val="auto"/>
        </w:rPr>
        <w:t>amount of information and numerous factors and benefits of the Offer and, the Merger, each of which the Board believed supported its unanimous determination and recommendation. As a result, for the reasons set forth below, the Board recommends that the Company’s stockholders tender their Common Shares in response to the Offer:</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Reasons in favor of the proposed transactions:</w:t>
      </w:r>
    </w:p>
    <w:p>
      <w:pPr>
        <w:spacing w:after="0" w:line="113" w:lineRule="exact"/>
        <w:rPr>
          <w:sz w:val="20"/>
          <w:szCs w:val="20"/>
          <w:color w:val="auto"/>
        </w:rPr>
      </w:pPr>
    </w:p>
    <w:p>
      <w:pPr>
        <w:ind w:left="1000" w:right="359" w:hanging="348"/>
        <w:spacing w:after="0" w:line="259"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Attractive Price Relative to Alternatives. </w:t>
      </w:r>
      <w:r>
        <w:rPr>
          <w:rFonts w:ascii="Times New Roman" w:cs="Times New Roman" w:eastAsia="Times New Roman" w:hAnsi="Times New Roman"/>
          <w:sz w:val="18"/>
          <w:szCs w:val="18"/>
          <w:color w:val="auto"/>
        </w:rPr>
        <w:t>The Board determined that the Offer Price is more favorable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stockholders than the value expected to result from other alternatives currently available to the Company in light of the Company’s challenged financial position, with this assessment informed by the Board’s familiarity with the Company’s business, operations, prospects, assets, and liabilities, including substantial doubt regarding the Company’s ability to continue as a going concern;</w:t>
      </w:r>
    </w:p>
    <w:p>
      <w:pPr>
        <w:spacing w:after="0" w:line="71" w:lineRule="exact"/>
        <w:rPr>
          <w:rFonts w:ascii="Times New Roman" w:cs="Times New Roman" w:eastAsia="Times New Roman" w:hAnsi="Times New Roman"/>
          <w:sz w:val="18"/>
          <w:szCs w:val="18"/>
          <w:color w:val="auto"/>
        </w:rPr>
      </w:pPr>
    </w:p>
    <w:p>
      <w:pPr>
        <w:ind w:left="1000" w:right="439" w:hanging="348"/>
        <w:spacing w:after="0" w:line="270" w:lineRule="auto"/>
        <w:tabs>
          <w:tab w:leader="none" w:pos="10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Premium to Market Price Prior to Announcement. </w:t>
      </w:r>
      <w:r>
        <w:rPr>
          <w:rFonts w:ascii="Times New Roman" w:cs="Times New Roman" w:eastAsia="Times New Roman" w:hAnsi="Times New Roman"/>
          <w:sz w:val="17"/>
          <w:szCs w:val="17"/>
          <w:color w:val="auto"/>
        </w:rPr>
        <w:t>The Board considered the market price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Common Shares immediately prior to the announcement of the Binding Term Sheet and the historical market prices of the Common Shares, including the market performance of the Shares relative to those of other participants in the Company’s industry and general market indices, and the fact that the Offer Price of the Closing Amount ($4.00), plus one (1) CVR per Common Share representing the right to receive cash payments of up to $3.00 contingent upon to the extent that the Milestones set forth in the CVR Agreement are achieved within the time period described therein, represents a substantial and compelling premium to the historical market prices of the Shares, including that the Closing Amount represents an approximately 85% premium to the closing share price of $2.16 on January 20, 2026, the last trading day before the Board’s approval of the Binding Term Sheet, and an approximately 116% premium over the Company’s volume-weighted average share price over the last 30 trading days as of the same date;</w:t>
      </w:r>
    </w:p>
    <w:p>
      <w:pPr>
        <w:spacing w:after="0" w:line="64" w:lineRule="exact"/>
        <w:rPr>
          <w:rFonts w:ascii="Times New Roman" w:cs="Times New Roman" w:eastAsia="Times New Roman" w:hAnsi="Times New Roman"/>
          <w:sz w:val="17"/>
          <w:szCs w:val="17"/>
          <w:color w:val="auto"/>
        </w:rPr>
      </w:pPr>
    </w:p>
    <w:p>
      <w:pPr>
        <w:ind w:left="1000" w:right="399" w:hanging="348"/>
        <w:spacing w:after="0" w:line="25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Certainty of Value of the Closing Amount. </w:t>
      </w:r>
      <w:r>
        <w:rPr>
          <w:rFonts w:ascii="Times New Roman" w:cs="Times New Roman" w:eastAsia="Times New Roman" w:hAnsi="Times New Roman"/>
          <w:sz w:val="18"/>
          <w:szCs w:val="18"/>
          <w:color w:val="auto"/>
        </w:rPr>
        <w:t>The Board considered the fact that the Closing Amount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to the Company’s stockholders at the consummation of the Transactions is all cash, which will provide certain and immediate value and liquidity to the Company’s stockholders for their Common Shares. The Board believed this liquidity and certainty of value to be compelling, especially when viewed against the internal and external risks and uncertainties associated with certain macroeconomic conditions and the potential impact of such risks and uncertainties on a standalone strategy and trading price of the Common Shares;</w:t>
      </w:r>
    </w:p>
    <w:p>
      <w:pPr>
        <w:spacing w:after="0" w:line="74"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CVR Consideration; Opportunity to Realize Additional Value</w:t>
      </w:r>
      <w:r>
        <w:rPr>
          <w:rFonts w:ascii="Times New Roman" w:cs="Times New Roman" w:eastAsia="Times New Roman" w:hAnsi="Times New Roman"/>
          <w:sz w:val="18"/>
          <w:szCs w:val="18"/>
          <w:color w:val="auto"/>
        </w:rPr>
        <w:t>. The Board considered the fact that,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to the Closing Amount, the Company’s stockholders will receive one (1) CVR for each Common Share held, which provides the Company’s stockholders an opportunity to realize additional value of up to an additional $3.00 per Common Share in cash, to the extent that the Milestones set forth in the CVR Agreement are achieved within the time period described therein. The Board also took into consideration its belief that the Milestones are reasonably achievable, taking into account the obligations of Parent to use “Commercially Reasonable Efforts” to achieve the Milestones, as set forth in the CVR Agreement;</w:t>
      </w:r>
    </w:p>
    <w:p>
      <w:pPr>
        <w:spacing w:after="0" w:line="74" w:lineRule="exact"/>
        <w:rPr>
          <w:rFonts w:ascii="Times New Roman" w:cs="Times New Roman" w:eastAsia="Times New Roman" w:hAnsi="Times New Roman"/>
          <w:sz w:val="18"/>
          <w:szCs w:val="18"/>
          <w:color w:val="auto"/>
        </w:rPr>
      </w:pPr>
    </w:p>
    <w:p>
      <w:pPr>
        <w:ind w:left="1000" w:right="319" w:hanging="348"/>
        <w:spacing w:after="0" w:line="259"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Fair Value</w:t>
      </w:r>
      <w:r>
        <w:rPr>
          <w:rFonts w:ascii="Times New Roman" w:cs="Times New Roman" w:eastAsia="Times New Roman" w:hAnsi="Times New Roman"/>
          <w:sz w:val="18"/>
          <w:szCs w:val="18"/>
          <w:color w:val="auto"/>
        </w:rPr>
        <w:t>. The Board believes that the Offer Price represents fair value for the Common Shares, taking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account the Board’s familiarity with the Company’s business strategy, assets, liabilities, prospects, and financing requirements, and the relative certainty of the Offer Price if the Transactions close, as compared to the uncertainty of its business prospects, which require that the Company raise substantial additional capital;</w:t>
      </w:r>
    </w:p>
    <w:p>
      <w:pPr>
        <w:spacing w:after="0" w:line="71" w:lineRule="exact"/>
        <w:rPr>
          <w:rFonts w:ascii="Times New Roman" w:cs="Times New Roman" w:eastAsia="Times New Roman" w:hAnsi="Times New Roman"/>
          <w:sz w:val="18"/>
          <w:szCs w:val="18"/>
          <w:color w:val="auto"/>
        </w:rPr>
      </w:pPr>
    </w:p>
    <w:p>
      <w:pPr>
        <w:ind w:left="1000" w:right="399" w:hanging="348"/>
        <w:spacing w:after="0" w:line="25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Strategic Alternatives. </w:t>
      </w:r>
      <w:r>
        <w:rPr>
          <w:rFonts w:ascii="Times New Roman" w:cs="Times New Roman" w:eastAsia="Times New Roman" w:hAnsi="Times New Roman"/>
          <w:sz w:val="18"/>
          <w:szCs w:val="18"/>
          <w:color w:val="auto"/>
        </w:rPr>
        <w:t>The Board considered the fact that representatives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negotiated with several potential counterparties during the past two (2) years, none of whom presented higher offers, and the belief of the Board, after a thorough review of possible alternative strategic alternatives reasonably available to the Company (including continuing to operate on a standalone basis), in each case, taking into account the potential benefits, risks, and uncertainties associated with those alternatives, that the Offer and the Merger represent the Company’s best reasonably available prospect for maximizing stockholder value;</w:t>
      </w:r>
    </w:p>
    <w:p>
      <w:pPr>
        <w:spacing w:after="0" w:line="74" w:lineRule="exact"/>
        <w:rPr>
          <w:rFonts w:ascii="Times New Roman" w:cs="Times New Roman" w:eastAsia="Times New Roman" w:hAnsi="Times New Roman"/>
          <w:sz w:val="18"/>
          <w:szCs w:val="18"/>
          <w:color w:val="auto"/>
        </w:rPr>
      </w:pPr>
    </w:p>
    <w:p>
      <w:pPr>
        <w:ind w:left="1000" w:right="499" w:hanging="348"/>
        <w:spacing w:after="0" w:line="28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Costs and Risks Associated with Drug Development</w:t>
      </w:r>
      <w:r>
        <w:rPr>
          <w:rFonts w:ascii="Times New Roman" w:cs="Times New Roman" w:eastAsia="Times New Roman" w:hAnsi="Times New Roman"/>
          <w:sz w:val="18"/>
          <w:szCs w:val="18"/>
          <w:color w:val="auto"/>
        </w:rPr>
        <w:t>. The costs and risks associated with continuing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certepetide;</w:t>
      </w:r>
    </w:p>
    <w:p>
      <w:pPr>
        <w:spacing w:after="0" w:line="46" w:lineRule="exact"/>
        <w:rPr>
          <w:rFonts w:ascii="Times New Roman" w:cs="Times New Roman" w:eastAsia="Times New Roman" w:hAnsi="Times New Roman"/>
          <w:sz w:val="18"/>
          <w:szCs w:val="18"/>
          <w:color w:val="auto"/>
        </w:rPr>
      </w:pPr>
    </w:p>
    <w:p>
      <w:pPr>
        <w:ind w:left="1000" w:right="459" w:hanging="348"/>
        <w:spacing w:after="0" w:line="268"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 Needs</w:t>
      </w:r>
      <w:r>
        <w:rPr>
          <w:rFonts w:ascii="Times New Roman" w:cs="Times New Roman" w:eastAsia="Times New Roman" w:hAnsi="Times New Roman"/>
          <w:sz w:val="18"/>
          <w:szCs w:val="18"/>
          <w:color w:val="auto"/>
        </w:rPr>
        <w:t>. The Company’s need for additional capital and the Company’s inability to raise the funds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to finance its business plan to develop certepetide on acceptable terms or at all and any such proposed financing would be extremely dilutive to existing stockholders;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000" w:right="879" w:hanging="348"/>
        <w:spacing w:after="0" w:line="259"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 of Clinical Trial Failure</w:t>
      </w:r>
      <w:r>
        <w:rPr>
          <w:rFonts w:ascii="Times New Roman" w:cs="Times New Roman" w:eastAsia="Times New Roman" w:hAnsi="Times New Roman"/>
          <w:sz w:val="18"/>
          <w:szCs w:val="18"/>
          <w:color w:val="auto"/>
        </w:rPr>
        <w:t>. That clinical trials can take years to complete, and the outcomes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uncertain, along with the risks inherent in the development and eventual commercialization of the Company’s product candidates and the risks related to market acceptance of product candidates, if approved, and other factors affecting the revenues and profitability of biopharmaceutical product candidates generally;</w:t>
      </w:r>
    </w:p>
    <w:p>
      <w:pPr>
        <w:spacing w:after="0" w:line="71" w:lineRule="exact"/>
        <w:rPr>
          <w:rFonts w:ascii="Times New Roman" w:cs="Times New Roman" w:eastAsia="Times New Roman" w:hAnsi="Times New Roman"/>
          <w:sz w:val="18"/>
          <w:szCs w:val="18"/>
          <w:color w:val="auto"/>
        </w:rPr>
      </w:pPr>
    </w:p>
    <w:p>
      <w:pPr>
        <w:ind w:left="1000" w:right="419" w:hanging="348"/>
        <w:spacing w:after="0" w:line="25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Risks Associated with Regulatory Processes. </w:t>
      </w:r>
      <w:r>
        <w:rPr>
          <w:rFonts w:ascii="Times New Roman" w:cs="Times New Roman" w:eastAsia="Times New Roman" w:hAnsi="Times New Roman"/>
          <w:sz w:val="18"/>
          <w:szCs w:val="18"/>
          <w:color w:val="auto"/>
        </w:rPr>
        <w:t>The risks inherent in obtaining regulatory approvals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regulatory authorities to be able to sell the Company’s products, if any, which can take years to complete and the receipt of which are not guaranteed; that domestic and foreign regulators have their own procedures for approval of product candidates, that if a product is approved, regulators may limit the indications for which the product may be marketed, require extensive warnings on the product labeling or require expensive and time-consuming clinical trials or reporting as conditions of approval;</w:t>
      </w:r>
    </w:p>
    <w:p>
      <w:pPr>
        <w:spacing w:after="0" w:line="74" w:lineRule="exact"/>
        <w:rPr>
          <w:rFonts w:ascii="Times New Roman" w:cs="Times New Roman" w:eastAsia="Times New Roman" w:hAnsi="Times New Roman"/>
          <w:sz w:val="18"/>
          <w:szCs w:val="18"/>
          <w:color w:val="auto"/>
        </w:rPr>
      </w:pPr>
    </w:p>
    <w:p>
      <w:pPr>
        <w:ind w:left="1000" w:right="519" w:hanging="348"/>
        <w:spacing w:after="0" w:line="268"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Potentially Limited Period of Opportunity</w:t>
      </w:r>
      <w:r>
        <w:rPr>
          <w:rFonts w:ascii="Times New Roman" w:cs="Times New Roman" w:eastAsia="Times New Roman" w:hAnsi="Times New Roman"/>
          <w:sz w:val="18"/>
          <w:szCs w:val="18"/>
          <w:color w:val="auto"/>
        </w:rPr>
        <w:t>. The timing of the Transactions and the risk that, if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did not sign the Merger Agreement, the Company may not have a more favorable opportunity prior to ceasing operations;</w:t>
      </w:r>
    </w:p>
    <w:p>
      <w:pPr>
        <w:spacing w:after="0" w:line="62" w:lineRule="exact"/>
        <w:rPr>
          <w:rFonts w:ascii="Times New Roman" w:cs="Times New Roman" w:eastAsia="Times New Roman" w:hAnsi="Times New Roman"/>
          <w:sz w:val="18"/>
          <w:szCs w:val="18"/>
          <w:color w:val="auto"/>
        </w:rPr>
      </w:pPr>
    </w:p>
    <w:p>
      <w:pPr>
        <w:ind w:left="1000" w:right="339" w:hanging="348"/>
        <w:spacing w:after="0" w:line="26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Best Offer</w:t>
      </w:r>
      <w:r>
        <w:rPr>
          <w:rFonts w:ascii="Times New Roman" w:cs="Times New Roman" w:eastAsia="Times New Roman" w:hAnsi="Times New Roman"/>
          <w:sz w:val="18"/>
          <w:szCs w:val="18"/>
          <w:color w:val="auto"/>
        </w:rPr>
        <w:t>. The Board’s belief that (i) as a result of an active negotiating process, the Company had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obtained Parent’s best offer, (ii) Parent may have exited negotiations with the Company had the parties not signed the Merger Agreement, and (iii) the Offer Price represented the highest price obtainable by the Company at the time the Merger Agreement was executed;</w:t>
      </w:r>
    </w:p>
    <w:p>
      <w:pPr>
        <w:spacing w:after="0" w:line="68" w:lineRule="exact"/>
        <w:rPr>
          <w:rFonts w:ascii="Times New Roman" w:cs="Times New Roman" w:eastAsia="Times New Roman" w:hAnsi="Times New Roman"/>
          <w:sz w:val="18"/>
          <w:szCs w:val="18"/>
          <w:color w:val="auto"/>
        </w:rPr>
      </w:pPr>
    </w:p>
    <w:p>
      <w:pPr>
        <w:ind w:left="1000" w:right="359" w:hanging="348"/>
        <w:spacing w:after="0" w:line="26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Likelihood of Closing</w:t>
      </w:r>
      <w:r>
        <w:rPr>
          <w:rFonts w:ascii="Times New Roman" w:cs="Times New Roman" w:eastAsia="Times New Roman" w:hAnsi="Times New Roman"/>
          <w:sz w:val="18"/>
          <w:szCs w:val="18"/>
          <w:color w:val="auto"/>
        </w:rPr>
        <w:t>. The belief of the Board that the likelihood of completing the Offer and the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sufficiently high, particularly in light of the terms of the Merger Agreement, including (i) the conditions to the Offer and the Merger, and (ii) the exceptions contained within the “Company Material Adverse Effect” definition, which generally defines the standard for closing risk;</w:t>
      </w:r>
    </w:p>
    <w:p>
      <w:pPr>
        <w:spacing w:after="0" w:line="68" w:lineRule="exact"/>
        <w:rPr>
          <w:rFonts w:ascii="Times New Roman" w:cs="Times New Roman" w:eastAsia="Times New Roman" w:hAnsi="Times New Roman"/>
          <w:sz w:val="18"/>
          <w:szCs w:val="18"/>
          <w:color w:val="auto"/>
        </w:rPr>
      </w:pPr>
    </w:p>
    <w:p>
      <w:pPr>
        <w:ind w:left="1000" w:right="419" w:hanging="348"/>
        <w:spacing w:after="0" w:line="268"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Financing Condition</w:t>
      </w:r>
      <w:r>
        <w:rPr>
          <w:rFonts w:ascii="Times New Roman" w:cs="Times New Roman" w:eastAsia="Times New Roman" w:hAnsi="Times New Roman"/>
          <w:sz w:val="18"/>
          <w:szCs w:val="18"/>
          <w:color w:val="auto"/>
        </w:rPr>
        <w:t>. The fact that the Transactions are not subject to a financing condition, albeit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risks and uncertainties described under the heading “</w:t>
      </w:r>
      <w:r>
        <w:rPr>
          <w:rFonts w:ascii="Times New Roman" w:cs="Times New Roman" w:eastAsia="Times New Roman" w:hAnsi="Times New Roman"/>
          <w:sz w:val="18"/>
          <w:szCs w:val="18"/>
          <w:i w:val="1"/>
          <w:iCs w:val="1"/>
          <w:color w:val="auto"/>
        </w:rPr>
        <w:t>Limited Financial Ability of 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Parent</w:t>
      </w:r>
      <w:r>
        <w:rPr>
          <w:rFonts w:ascii="Times New Roman" w:cs="Times New Roman" w:eastAsia="Times New Roman" w:hAnsi="Times New Roman"/>
          <w:sz w:val="18"/>
          <w:szCs w:val="18"/>
          <w:color w:val="auto"/>
        </w:rPr>
        <w:t>” below;</w:t>
      </w:r>
    </w:p>
    <w:p>
      <w:pPr>
        <w:spacing w:after="0" w:line="62" w:lineRule="exact"/>
        <w:rPr>
          <w:rFonts w:ascii="Times New Roman" w:cs="Times New Roman" w:eastAsia="Times New Roman" w:hAnsi="Times New Roman"/>
          <w:sz w:val="18"/>
          <w:szCs w:val="18"/>
          <w:color w:val="auto"/>
        </w:rPr>
      </w:pPr>
    </w:p>
    <w:p>
      <w:pPr>
        <w:ind w:left="1000" w:right="539" w:hanging="348"/>
        <w:spacing w:after="0" w:line="25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Opinion of Wainwright Fairness Opinion</w:t>
      </w:r>
      <w:r>
        <w:rPr>
          <w:rFonts w:ascii="Times New Roman" w:cs="Times New Roman" w:eastAsia="Times New Roman" w:hAnsi="Times New Roman"/>
          <w:sz w:val="18"/>
          <w:szCs w:val="18"/>
          <w:color w:val="auto"/>
        </w:rPr>
        <w:t>. The oral opinion of Wainright rendered to the Board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29, 2026, which was subsequently confirmed by delivery of a written opinion dated May 29, 2026, that, as of such date and based upon and subject to the various assumptions made, procedures followed, matters considered and qualifications and limitations upon the review undertaken by Wainright in preparing its opinion, the Offer Price was fair, from a financial point of view, to the holders of the Common Shares (other than Excluded Shares);</w:t>
      </w:r>
    </w:p>
    <w:p>
      <w:pPr>
        <w:spacing w:after="0" w:line="74" w:lineRule="exact"/>
        <w:rPr>
          <w:rFonts w:ascii="Times New Roman" w:cs="Times New Roman" w:eastAsia="Times New Roman" w:hAnsi="Times New Roman"/>
          <w:sz w:val="18"/>
          <w:szCs w:val="18"/>
          <w:color w:val="auto"/>
        </w:rPr>
      </w:pPr>
    </w:p>
    <w:p>
      <w:pPr>
        <w:ind w:left="1000" w:right="319" w:hanging="348"/>
        <w:spacing w:after="0" w:line="25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Opportunity to Accept a Superior Proposal</w:t>
      </w:r>
      <w:r>
        <w:rPr>
          <w:rFonts w:ascii="Times New Roman" w:cs="Times New Roman" w:eastAsia="Times New Roman" w:hAnsi="Times New Roman"/>
          <w:sz w:val="18"/>
          <w:szCs w:val="18"/>
          <w:color w:val="auto"/>
        </w:rPr>
        <w:t>. The fact that, in certain circumstances, the terms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Agreement permit the Company to respond to unsolicited proposals, and that the provisions of the Merger Agreement permit the Board in certain circumstances to terminate the Merger Agreement in order to enter into a definitive agreement with respect to an unsolicited superior proposal, subject to the payment of a termination fee equal to $2,000,000, which amount the directors believe to be reasonable under the circumstances and unlikely to serve as a meaningful deterrent to other acquisition proposals; and</w:t>
      </w:r>
    </w:p>
    <w:p>
      <w:pPr>
        <w:spacing w:after="0" w:line="74" w:lineRule="exact"/>
        <w:rPr>
          <w:rFonts w:ascii="Times New Roman" w:cs="Times New Roman" w:eastAsia="Times New Roman" w:hAnsi="Times New Roman"/>
          <w:sz w:val="18"/>
          <w:szCs w:val="18"/>
          <w:color w:val="auto"/>
        </w:rPr>
      </w:pPr>
    </w:p>
    <w:p>
      <w:pPr>
        <w:ind w:left="1000" w:right="479" w:hanging="348"/>
        <w:spacing w:after="0" w:line="317" w:lineRule="auto"/>
        <w:tabs>
          <w:tab w:leader="none" w:pos="10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Appraisal Rights</w:t>
      </w:r>
      <w:r>
        <w:rPr>
          <w:rFonts w:ascii="Times New Roman" w:cs="Times New Roman" w:eastAsia="Times New Roman" w:hAnsi="Times New Roman"/>
          <w:sz w:val="17"/>
          <w:szCs w:val="17"/>
          <w:color w:val="auto"/>
        </w:rPr>
        <w:t>. That stockholders who do not believe that the Offer Price represents fair consideration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their Shares will have an opportunity to pursue appraisal rights under Section 262 of the DGCL.</w:t>
      </w:r>
    </w:p>
    <w:p>
      <w:pPr>
        <w:spacing w:after="0" w:line="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Considerations against and risks associated with the Transactions:</w:t>
      </w:r>
    </w:p>
    <w:p>
      <w:pPr>
        <w:spacing w:after="0" w:line="113" w:lineRule="exact"/>
        <w:rPr>
          <w:sz w:val="20"/>
          <w:szCs w:val="20"/>
          <w:color w:val="auto"/>
        </w:rPr>
      </w:pPr>
    </w:p>
    <w:p>
      <w:pPr>
        <w:jc w:val="both"/>
        <w:ind w:left="1000" w:right="359" w:hanging="348"/>
        <w:spacing w:after="0" w:line="268"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Opportunity Costs</w:t>
      </w:r>
      <w:r>
        <w:rPr>
          <w:rFonts w:ascii="Times New Roman" w:cs="Times New Roman" w:eastAsia="Times New Roman" w:hAnsi="Times New Roman"/>
          <w:sz w:val="18"/>
          <w:szCs w:val="18"/>
          <w:color w:val="auto"/>
        </w:rPr>
        <w:t>. The fact that the Company will no longer exist as an independent public company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stockholders will forego any future increase in its value as an independent public company that might result from its possible growth;</w:t>
      </w:r>
    </w:p>
    <w:p>
      <w:pPr>
        <w:spacing w:after="0" w:line="62" w:lineRule="exact"/>
        <w:rPr>
          <w:rFonts w:ascii="Times New Roman" w:cs="Times New Roman" w:eastAsia="Times New Roman" w:hAnsi="Times New Roman"/>
          <w:sz w:val="18"/>
          <w:szCs w:val="18"/>
          <w:color w:val="auto"/>
        </w:rPr>
      </w:pPr>
    </w:p>
    <w:p>
      <w:pPr>
        <w:ind w:left="1000" w:right="439" w:hanging="348"/>
        <w:spacing w:after="0" w:line="26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Potential Negative Impact on the Company’s Business</w:t>
      </w:r>
      <w:r>
        <w:rPr>
          <w:rFonts w:ascii="Times New Roman" w:cs="Times New Roman" w:eastAsia="Times New Roman" w:hAnsi="Times New Roman"/>
          <w:sz w:val="18"/>
          <w:szCs w:val="18"/>
          <w:color w:val="auto"/>
        </w:rPr>
        <w:t>. The possible negative effect of the Offer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and public announcement of the Offer and the Merger on the Company’s financial performance, operating results and stock price and the Company’s relationships with customers, suppliers, other business partners, management and employees;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000" w:right="339" w:hanging="348"/>
        <w:spacing w:after="0" w:line="26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Prohibition Against Solicitations</w:t>
      </w:r>
      <w:r>
        <w:rPr>
          <w:rFonts w:ascii="Times New Roman" w:cs="Times New Roman" w:eastAsia="Times New Roman" w:hAnsi="Times New Roman"/>
          <w:sz w:val="18"/>
          <w:szCs w:val="18"/>
          <w:color w:val="auto"/>
        </w:rPr>
        <w:t>. The fact that the Merger Agreement precludes the Company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actively soliciting competing acquisition proposals and obligates the Company to pay Parent a termination fee equal to $2,000,000 under specified circumstances, which could discourage the making of a competing acquisition proposal or adversely impact the price offered in such a proposal;</w:t>
      </w:r>
    </w:p>
    <w:p>
      <w:pPr>
        <w:spacing w:after="0" w:line="68" w:lineRule="exact"/>
        <w:rPr>
          <w:rFonts w:ascii="Times New Roman" w:cs="Times New Roman" w:eastAsia="Times New Roman" w:hAnsi="Times New Roman"/>
          <w:sz w:val="18"/>
          <w:szCs w:val="18"/>
          <w:color w:val="auto"/>
        </w:rPr>
      </w:pPr>
    </w:p>
    <w:p>
      <w:pPr>
        <w:jc w:val="both"/>
        <w:ind w:left="1000" w:right="379" w:hanging="348"/>
        <w:spacing w:after="0" w:line="259"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Business Operation Restrictions</w:t>
      </w:r>
      <w:r>
        <w:rPr>
          <w:rFonts w:ascii="Times New Roman" w:cs="Times New Roman" w:eastAsia="Times New Roman" w:hAnsi="Times New Roman"/>
          <w:sz w:val="18"/>
          <w:szCs w:val="18"/>
          <w:color w:val="auto"/>
        </w:rPr>
        <w:t>. The fact that the Merger Agreement imposes restrictions on the conduct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Company’s business in the pre-closing period, which may adversely affect the Company’s business, including by delaying or preventing the Company from raising financing or pursuing non-ordinary course opportunities that may arise or precluding actions that would be advisable if the Company were to remain an independent company;</w:t>
      </w:r>
    </w:p>
    <w:p>
      <w:pPr>
        <w:spacing w:after="0" w:line="71"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Course of Dealings with Purchaser and Parent</w:t>
      </w:r>
      <w:r>
        <w:rPr>
          <w:rFonts w:ascii="Times New Roman" w:cs="Times New Roman" w:eastAsia="Times New Roman" w:hAnsi="Times New Roman"/>
          <w:sz w:val="18"/>
          <w:szCs w:val="18"/>
          <w:color w:val="auto"/>
        </w:rPr>
        <w:t>. Due to Parent and Purchaser’s (i) multiple failures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timely commencing the tender offer as required under the Original Merger Agreement, the First Merger Agreement Amendment and the Second Merger Agreement Amendment, (ii) Parent’s multiple failures to timely make the payments due to the Company under the First Merger Agreement Amendment and (iii) multiple communications by Mr. Land to Company management that it would need more time to complete the financing necessary to commence the tender offer, the Board had concerns about the willingness and ability of Parent and Purchaser to perform their obligations, including timely commencing the tender offer, if at all.</w:t>
      </w:r>
    </w:p>
    <w:p>
      <w:pPr>
        <w:spacing w:after="0" w:line="76" w:lineRule="exact"/>
        <w:rPr>
          <w:rFonts w:ascii="Times New Roman" w:cs="Times New Roman" w:eastAsia="Times New Roman" w:hAnsi="Times New Roman"/>
          <w:sz w:val="18"/>
          <w:szCs w:val="18"/>
          <w:color w:val="auto"/>
        </w:rPr>
      </w:pPr>
    </w:p>
    <w:p>
      <w:pPr>
        <w:ind w:left="1000" w:right="459" w:hanging="348"/>
        <w:spacing w:after="0" w:line="25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Limited Financial Ability of Purchaser and Parent</w:t>
      </w:r>
      <w:r>
        <w:rPr>
          <w:rFonts w:ascii="Times New Roman" w:cs="Times New Roman" w:eastAsia="Times New Roman" w:hAnsi="Times New Roman"/>
          <w:sz w:val="18"/>
          <w:szCs w:val="18"/>
          <w:color w:val="auto"/>
        </w:rPr>
        <w:t>. As of the commencement of the Offer, Parent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Purchaser do not have committed financing to fund the Offer Price. Parent and Purchaser have disclosed that they intend to fund the Offer Price through a combination of debt and/or equity financings, borrowings under credit facilities that Parent will seek to obtain from lenders and/or private issuance of securities, none of which has been committed. If Parent obtains commitment letters for such financing, Parent would be obligated to file such commitments with the Securities and Exchange Commission and make them available in the manner described in the Offer to Purchase. </w:t>
      </w:r>
      <w:r>
        <w:rPr>
          <w:rFonts w:ascii="Times New Roman" w:cs="Times New Roman" w:eastAsia="Times New Roman" w:hAnsi="Times New Roman"/>
          <w:sz w:val="18"/>
          <w:szCs w:val="18"/>
          <w:b w:val="1"/>
          <w:bCs w:val="1"/>
          <w:color w:val="auto"/>
        </w:rPr>
        <w:t>There can be no assurance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such financing will be obtained</w:t>
      </w:r>
      <w:r>
        <w:rPr>
          <w:rFonts w:ascii="Times New Roman" w:cs="Times New Roman" w:eastAsia="Times New Roman" w:hAnsi="Times New Roman"/>
          <w:sz w:val="18"/>
          <w:szCs w:val="18"/>
          <w:color w:val="auto"/>
        </w:rPr>
        <w:t>. Notwithstanding the fact that the Transactions are not subject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condition and that Parent and Purchaser have made representations and agreed to covenants regarding their anticipated sources of financing and use of best efforts to arrange and obtain alternative financing from alternative sources if Parent’s anticipated sources of financing become unavailable Parent and Purchaser may ultimately be unsuccessful in their efforts to arrange and obtain financing and may be unable to consummate the Transactions. In such case, the Company may be unable to obtain appropriate remedies, if any, even to the extent legally available, as a result of the Company’s limited ability to fund related litigation and Parent’s or Purchaser’s limited ability to satisfy with its existing assets any judgement the Company did obtain, among other risks and uncertainties.</w:t>
      </w:r>
    </w:p>
    <w:p>
      <w:pPr>
        <w:spacing w:after="0" w:line="86" w:lineRule="exact"/>
        <w:rPr>
          <w:rFonts w:ascii="Times New Roman" w:cs="Times New Roman" w:eastAsia="Times New Roman" w:hAnsi="Times New Roman"/>
          <w:sz w:val="18"/>
          <w:szCs w:val="18"/>
          <w:color w:val="auto"/>
        </w:rPr>
      </w:pPr>
    </w:p>
    <w:p>
      <w:pPr>
        <w:ind w:left="1000" w:right="359" w:hanging="348"/>
        <w:spacing w:after="0" w:line="259"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 of Business Disruption During the Pendency of the Deal</w:t>
      </w:r>
      <w:r>
        <w:rPr>
          <w:rFonts w:ascii="Times New Roman" w:cs="Times New Roman" w:eastAsia="Times New Roman" w:hAnsi="Times New Roman"/>
          <w:sz w:val="18"/>
          <w:szCs w:val="18"/>
          <w:color w:val="auto"/>
        </w:rPr>
        <w:t>. The risks that the announcement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pendency of the Merger or the failure to complete the Merger may cause harm to relationships with the Company’s employees or partners (or be a factor in the consideration of employees or partners to maintain their relationships with the Company) and has and may continue to divert management and employee attention away from the day-to-day operation of the Company’s business;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 of Litigation</w:t>
      </w:r>
      <w:r>
        <w:rPr>
          <w:rFonts w:ascii="Times New Roman" w:cs="Times New Roman" w:eastAsia="Times New Roman" w:hAnsi="Times New Roman"/>
          <w:sz w:val="18"/>
          <w:szCs w:val="18"/>
          <w:color w:val="auto"/>
        </w:rPr>
        <w:t>. The risk of litigation relating to or arising from the Transactions;</w:t>
      </w:r>
    </w:p>
    <w:p>
      <w:pPr>
        <w:spacing w:after="0" w:line="117" w:lineRule="exact"/>
        <w:rPr>
          <w:rFonts w:ascii="Times New Roman" w:cs="Times New Roman" w:eastAsia="Times New Roman" w:hAnsi="Times New Roman"/>
          <w:sz w:val="18"/>
          <w:szCs w:val="18"/>
          <w:color w:val="auto"/>
        </w:rPr>
      </w:pPr>
    </w:p>
    <w:p>
      <w:pPr>
        <w:ind w:left="1000" w:right="699" w:hanging="348"/>
        <w:spacing w:after="0" w:line="268"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Transaction Expenses</w:t>
      </w:r>
      <w:r>
        <w:rPr>
          <w:rFonts w:ascii="Times New Roman" w:cs="Times New Roman" w:eastAsia="Times New Roman" w:hAnsi="Times New Roman"/>
          <w:sz w:val="18"/>
          <w:szCs w:val="18"/>
          <w:color w:val="auto"/>
        </w:rPr>
        <w:t>. The substantial transaction expenses to be incurred in connection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and the negative impact of such expenses on the Company’s cash reserves and operating results should the Offer and the Merger not be completed; and</w:t>
      </w:r>
    </w:p>
    <w:p>
      <w:pPr>
        <w:spacing w:after="0" w:line="62" w:lineRule="exact"/>
        <w:rPr>
          <w:rFonts w:ascii="Times New Roman" w:cs="Times New Roman" w:eastAsia="Times New Roman" w:hAnsi="Times New Roman"/>
          <w:sz w:val="18"/>
          <w:szCs w:val="18"/>
          <w:color w:val="auto"/>
        </w:rPr>
      </w:pPr>
    </w:p>
    <w:p>
      <w:pPr>
        <w:ind w:left="1000" w:right="339" w:hanging="348"/>
        <w:spacing w:after="0" w:line="268"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Interests of Insiders</w:t>
      </w:r>
      <w:r>
        <w:rPr>
          <w:rFonts w:ascii="Times New Roman" w:cs="Times New Roman" w:eastAsia="Times New Roman" w:hAnsi="Times New Roman"/>
          <w:sz w:val="18"/>
          <w:szCs w:val="18"/>
          <w:color w:val="auto"/>
        </w:rPr>
        <w:t>. The interests that certain directors and executive officers of the Company may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the Transactions that may be different from, or in addition to, their interests as stockholders of the Company or the interests of the Company’s other stockholders generally.</w:t>
      </w:r>
    </w:p>
    <w:p>
      <w:pPr>
        <w:spacing w:after="0" w:line="67" w:lineRule="exact"/>
        <w:rPr>
          <w:sz w:val="20"/>
          <w:szCs w:val="20"/>
          <w:color w:val="auto"/>
        </w:rPr>
      </w:pPr>
    </w:p>
    <w:p>
      <w:pPr>
        <w:ind w:left="300" w:right="359"/>
        <w:spacing w:after="0" w:line="274" w:lineRule="auto"/>
        <w:rPr>
          <w:sz w:val="20"/>
          <w:szCs w:val="20"/>
          <w:color w:val="auto"/>
        </w:rPr>
      </w:pPr>
      <w:r>
        <w:rPr>
          <w:rFonts w:ascii="Times New Roman" w:cs="Times New Roman" w:eastAsia="Times New Roman" w:hAnsi="Times New Roman"/>
          <w:sz w:val="17"/>
          <w:szCs w:val="17"/>
          <w:color w:val="auto"/>
        </w:rPr>
        <w:t>The foregoing discussion of the Board’s reasons for its recommendation that the Company’s stockholders accept the Offer and tender their Shares to Purchaser pursuant to the Offer is not meant to be exhaustive, but addresses the material information and reasons considered by the Board in connection with its recommendation. In view of the wide variety of factors considered by the Board in connection with the evaluation of the Offer and the complexity of these matters, the Board did not find it practicable to, and did not, quantify or otherwise assign relative weights to the specific reasons considered in reaching its determination and recommendation. Rather, the Company’s directors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made their determinations and recommendations based on the totality of the information presented to them, and the judgments of individual members of the Board may have been influenced to a greater or lesser degree by different reasons. In arriving at their respective recommendations, the members of the Board considered the interests of the Company’s executive officers and directors as described under “</w:t>
      </w:r>
      <w:r>
        <w:rPr>
          <w:rFonts w:ascii="Times New Roman" w:cs="Times New Roman" w:eastAsia="Times New Roman" w:hAnsi="Times New Roman"/>
          <w:sz w:val="18"/>
          <w:szCs w:val="18"/>
          <w:i w:val="1"/>
          <w:iCs w:val="1"/>
          <w:color w:val="auto"/>
        </w:rPr>
        <w:t>Item 3. Past Contacts, Transactions, Negotiations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Agreements” </w:t>
      </w:r>
      <w:r>
        <w:rPr>
          <w:rFonts w:ascii="Times New Roman" w:cs="Times New Roman" w:eastAsia="Times New Roman" w:hAnsi="Times New Roman"/>
          <w:sz w:val="18"/>
          <w:szCs w:val="18"/>
          <w:color w:val="auto"/>
        </w:rPr>
        <w:t>above.</w:t>
      </w:r>
    </w:p>
    <w:p>
      <w:pPr>
        <w:spacing w:after="0" w:line="75" w:lineRule="exact"/>
        <w:rPr>
          <w:sz w:val="20"/>
          <w:szCs w:val="20"/>
          <w:color w:val="auto"/>
        </w:rPr>
      </w:pPr>
    </w:p>
    <w:p>
      <w:pPr>
        <w:ind w:left="300" w:right="979"/>
        <w:spacing w:after="0" w:line="266" w:lineRule="auto"/>
        <w:rPr>
          <w:sz w:val="20"/>
          <w:szCs w:val="20"/>
          <w:color w:val="auto"/>
        </w:rPr>
      </w:pPr>
      <w:r>
        <w:rPr>
          <w:rFonts w:ascii="Times New Roman" w:cs="Times New Roman" w:eastAsia="Times New Roman" w:hAnsi="Times New Roman"/>
          <w:sz w:val="18"/>
          <w:szCs w:val="18"/>
          <w:color w:val="auto"/>
        </w:rPr>
        <w:t>The foregoing discussion and certain information presented in this section is forward-looking in nature and, therefore, the information should be read in light of the factors described below in the section entitled “</w:t>
      </w:r>
      <w:r>
        <w:rPr>
          <w:rFonts w:ascii="Times New Roman" w:cs="Times New Roman" w:eastAsia="Times New Roman" w:hAnsi="Times New Roman"/>
          <w:sz w:val="18"/>
          <w:szCs w:val="18"/>
          <w:i w:val="1"/>
          <w:iCs w:val="1"/>
          <w:color w:val="auto"/>
        </w:rPr>
        <w:t>Item 8. Additional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Intent to Tender</w:t>
      </w:r>
    </w:p>
    <w:p>
      <w:pPr>
        <w:spacing w:after="0" w:line="121"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color w:val="auto"/>
        </w:rPr>
        <w:t>To the knowledge of the Company, after making reasonable inquiry, all of the Company’s executive officers and directors currently intend to tender or cause to be tendered all Shares held of record or beneficially owned by such person or entity prior to the expiration of the Offer, as it may be extended (other than Shares for which such holder does not have discretionary authority). The foregoing does not include any Shares over which, or with respect to which, any such executive officer or director acts in a fiduciary or representative capacity or is subject to the instructions of a third party with respect to such tender.</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H.C. Wainwright &amp; Co., LLC</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On May 29, 2026, at a meeting of the Board, Wainwright, the Company’s advisor for purposes of rendering a fairness opinion in connection with the Offer and the Merger, rendered its oral opinion to the Board, subsequently confirmed by delivery of a written opinion, dated May 29, 2026, to the Board, that the Offer Price was fair, from a financial point of view, to the common stockholders of the Company as of the date of such opinion and based on the various assumptions, qualifications and limitations set forth therein.</w:t>
      </w:r>
    </w:p>
    <w:p>
      <w:pPr>
        <w:spacing w:after="0" w:line="71" w:lineRule="exact"/>
        <w:rPr>
          <w:sz w:val="20"/>
          <w:szCs w:val="20"/>
          <w:color w:val="auto"/>
        </w:rPr>
      </w:pPr>
    </w:p>
    <w:p>
      <w:pPr>
        <w:ind w:left="300" w:right="379"/>
        <w:spacing w:after="0" w:line="257" w:lineRule="auto"/>
        <w:rPr>
          <w:sz w:val="20"/>
          <w:szCs w:val="20"/>
          <w:color w:val="auto"/>
        </w:rPr>
      </w:pPr>
      <w:r>
        <w:rPr>
          <w:rFonts w:ascii="Times New Roman" w:cs="Times New Roman" w:eastAsia="Times New Roman" w:hAnsi="Times New Roman"/>
          <w:sz w:val="18"/>
          <w:szCs w:val="18"/>
          <w:color w:val="auto"/>
        </w:rPr>
        <w:t>The full text of Wainwright’s written opinion, dated May 29, 2026 (the “</w:t>
      </w:r>
      <w:r>
        <w:rPr>
          <w:rFonts w:ascii="Times New Roman" w:cs="Times New Roman" w:eastAsia="Times New Roman" w:hAnsi="Times New Roman"/>
          <w:sz w:val="18"/>
          <w:szCs w:val="18"/>
          <w:b w:val="1"/>
          <w:bCs w:val="1"/>
          <w:color w:val="auto"/>
        </w:rPr>
        <w:t>Opinion</w:t>
      </w:r>
      <w:r>
        <w:rPr>
          <w:rFonts w:ascii="Times New Roman" w:cs="Times New Roman" w:eastAsia="Times New Roman" w:hAnsi="Times New Roman"/>
          <w:sz w:val="18"/>
          <w:szCs w:val="18"/>
          <w:color w:val="auto"/>
        </w:rPr>
        <w:t>”), which describes the assumptions made, procedures followed, other matters considered and limits of the review by Wainwright, is attached to this Schedule 14D-9 as Annex I and is incorporated into this Schedule 14D-9 by reference. The Company encourages its stockholders to read the Opinion in its entirety. The summary of the Opinion set forth herein is qualified by reference to the full text of the Opinion. The Opinion is not a recommendation to the Board or to any stockholder to take any action in connection with the Offer or otherwise.</w:t>
      </w:r>
    </w:p>
    <w:p>
      <w:pPr>
        <w:spacing w:after="0" w:line="78"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Wainwright in connection with the preparation of its fairness opinion, which opinion was rendered orally to the Board (and subsequently confirmed in writing by delivery of Wainwright’s written opinion dated the same date) on May 29, 2026. The preparation of analyses and a fairness opinion is a complex analytic process involving various determinations as to the most appropriate and relevant methods of financial analysis and the application of those methods to the particular circumstances and, therefore, such an opinion is not readily susceptible to summary description and this summary does not purport to be a complete description of the analyses performed by Wainwright or the delivery of Wainwright’s opinion to the Board. This summary includes information presented in tabular format. In order to fully understand the financial analyses presented by Wainwright, the tables must be read together with the text of each analysis summary and considered as a whole. The tables alone do not constitute a complete summary of the financial analyses. Considering any portion of such analyses and of the factors considered, without considering all analyses and factors, could create a misleading or incomplete view of the process underlying Wainwright’s opinion.</w:t>
      </w:r>
    </w:p>
    <w:p>
      <w:pPr>
        <w:spacing w:after="0" w:line="82"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In furnishing its opinion, Wainwright did not attempt to combine the analyses described herein into one composite valuation range, nor did Wainwright assign any quantitative weight to any of the analyses or the other factors considered. Furthermore, in arriving at its opinion, Wainwright did not attribute any particular weight to any analysis or factor considered by it, but rather made qualitative judgments as to the significance and relevance of each analysis and factor in light of one another, although Wainwright did state its belief that its Premiums Paid analysis should be given greater weight in evaluating the Offer and the Merger because (i) several of the public comparable companies have experienced recent setbacks and (ii) there is a wide range of consideration paid to clinical stage life science companies that are focused on oncology drug development. Wainwright has stated that it believes that its analyses must be considered as a whole and that considering any portion of its analyses, without considering all the analyses taken together, could create a misleading or incomplete view of the process underlying its opinion or the conclusions to be drawn therefrom.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The results of the application by Wainwright of each of the valuation methodologies utilized in connection with its fairness opinion are summarized below.</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Analysis of Precedent Transactions: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Wainwright reviewed precedent transactions for Oncology Microcap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188595</wp:posOffset>
            </wp:positionV>
            <wp:extent cx="5314950" cy="2468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1495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Wainwright reviewed the premiums paid for the transactions described above over the closing price of the Company’s Common Shares on the trading day prior to public announcement of the Term Sheet (the “</w:t>
      </w:r>
      <w:r>
        <w:rPr>
          <w:rFonts w:ascii="Times New Roman" w:cs="Times New Roman" w:eastAsia="Times New Roman" w:hAnsi="Times New Roman"/>
          <w:sz w:val="18"/>
          <w:szCs w:val="18"/>
          <w:b w:val="1"/>
          <w:bCs w:val="1"/>
          <w:color w:val="auto"/>
        </w:rPr>
        <w:t>Unaffected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This review indicates the following:</w:t>
      </w:r>
    </w:p>
    <w:p>
      <w:pPr>
        <w:spacing w:after="0" w:line="129" w:lineRule="exact"/>
        <w:rPr>
          <w:sz w:val="20"/>
          <w:szCs w:val="20"/>
          <w:color w:val="auto"/>
        </w:rPr>
      </w:pPr>
    </w:p>
    <w:p>
      <w:pPr>
        <w:ind w:left="300"/>
        <w:spacing w:after="0"/>
        <w:tabs>
          <w:tab w:leader="none" w:pos="5860" w:val="left"/>
          <w:tab w:leader="none" w:pos="6560" w:val="left"/>
          <w:tab w:leader="none" w:pos="7300" w:val="left"/>
          <w:tab w:leader="none" w:pos="8260" w:val="left"/>
        </w:tabs>
        <w:rPr>
          <w:sz w:val="20"/>
          <w:szCs w:val="20"/>
          <w:color w:val="auto"/>
        </w:rPr>
      </w:pPr>
      <w:r>
        <w:rPr>
          <w:rFonts w:ascii="Times New Roman" w:cs="Times New Roman" w:eastAsia="Times New Roman" w:hAnsi="Times New Roman"/>
          <w:sz w:val="14"/>
          <w:szCs w:val="14"/>
          <w:b w:val="1"/>
          <w:bCs w:val="1"/>
          <w:color w:val="auto"/>
        </w:rPr>
        <w:t>Premiums Paid</w:t>
      </w:r>
      <w:r>
        <w:rPr>
          <w:sz w:val="20"/>
          <w:szCs w:val="20"/>
          <w:color w:val="auto"/>
        </w:rPr>
        <w:tab/>
      </w:r>
      <w:r>
        <w:rPr>
          <w:rFonts w:ascii="Times New Roman" w:cs="Times New Roman" w:eastAsia="Times New Roman" w:hAnsi="Times New Roman"/>
          <w:sz w:val="14"/>
          <w:szCs w:val="14"/>
          <w:b w:val="1"/>
          <w:bCs w:val="1"/>
          <w:color w:val="auto"/>
        </w:rPr>
        <w:t>25%</w:t>
      </w:r>
      <w:r>
        <w:rPr>
          <w:sz w:val="20"/>
          <w:szCs w:val="20"/>
          <w:color w:val="auto"/>
        </w:rPr>
        <w:tab/>
      </w:r>
      <w:r>
        <w:rPr>
          <w:rFonts w:ascii="Times New Roman" w:cs="Times New Roman" w:eastAsia="Times New Roman" w:hAnsi="Times New Roman"/>
          <w:sz w:val="14"/>
          <w:szCs w:val="14"/>
          <w:b w:val="1"/>
          <w:bCs w:val="1"/>
          <w:color w:val="auto"/>
        </w:rPr>
        <w:t>Mean</w:t>
      </w:r>
      <w:r>
        <w:rPr>
          <w:sz w:val="20"/>
          <w:szCs w:val="20"/>
          <w:color w:val="auto"/>
        </w:rPr>
        <w:tab/>
      </w:r>
      <w:r>
        <w:rPr>
          <w:rFonts w:ascii="Times New Roman" w:cs="Times New Roman" w:eastAsia="Times New Roman" w:hAnsi="Times New Roman"/>
          <w:sz w:val="14"/>
          <w:szCs w:val="14"/>
          <w:b w:val="1"/>
          <w:bCs w:val="1"/>
          <w:color w:val="auto"/>
        </w:rPr>
        <w:t>Median</w:t>
      </w:r>
      <w:r>
        <w:rPr>
          <w:sz w:val="20"/>
          <w:szCs w:val="20"/>
          <w:color w:val="auto"/>
        </w:rPr>
        <w:tab/>
      </w:r>
      <w:r>
        <w:rPr>
          <w:rFonts w:ascii="Times New Roman" w:cs="Times New Roman" w:eastAsia="Times New Roman" w:hAnsi="Times New Roman"/>
          <w:sz w:val="14"/>
          <w:szCs w:val="14"/>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196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55" w:lineRule="exact"/>
        <w:rPr>
          <w:sz w:val="20"/>
          <w:szCs w:val="20"/>
          <w:color w:val="auto"/>
        </w:rPr>
      </w:pPr>
    </w:p>
    <w:p>
      <w:pPr>
        <w:ind w:left="5820"/>
        <w:spacing w:after="0"/>
        <w:tabs>
          <w:tab w:leader="none" w:pos="6500" w:val="left"/>
          <w:tab w:leader="none" w:pos="7300" w:val="left"/>
          <w:tab w:leader="none" w:pos="8100" w:val="left"/>
        </w:tabs>
        <w:rPr>
          <w:sz w:val="20"/>
          <w:szCs w:val="20"/>
          <w:color w:val="auto"/>
        </w:rPr>
      </w:pPr>
      <w:r>
        <w:rPr>
          <w:rFonts w:ascii="Times New Roman" w:cs="Times New Roman" w:eastAsia="Times New Roman" w:hAnsi="Times New Roman"/>
          <w:sz w:val="18"/>
          <w:szCs w:val="18"/>
          <w:color w:val="auto"/>
        </w:rPr>
        <w:t>0.4%</w:t>
      </w:r>
      <w:r>
        <w:rPr>
          <w:sz w:val="20"/>
          <w:szCs w:val="20"/>
          <w:color w:val="auto"/>
        </w:rPr>
        <w:tab/>
      </w:r>
      <w:r>
        <w:rPr>
          <w:rFonts w:ascii="Times New Roman" w:cs="Times New Roman" w:eastAsia="Times New Roman" w:hAnsi="Times New Roman"/>
          <w:sz w:val="18"/>
          <w:szCs w:val="18"/>
          <w:color w:val="auto"/>
        </w:rPr>
        <w:t>50.0%</w:t>
      </w:r>
      <w:r>
        <w:rPr>
          <w:sz w:val="20"/>
          <w:szCs w:val="20"/>
          <w:color w:val="auto"/>
        </w:rPr>
        <w:tab/>
      </w: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103.4%</w:t>
      </w:r>
    </w:p>
    <w:p>
      <w:pPr>
        <w:spacing w:after="0" w:line="171"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Wainwright then selected a representative range of implied premiums of 0.4% to 103.4% and applied such range to the closing price of the Common Shares of $2.16 on January 20, 2026, the last trading day prior to public announcement of the Term Sheet, resulting in Wainwright’s calculation of a range of estimated implied values of $19 million to $39 million versus the proposed price of $40 million. The proposed price of $4.00 per share, or $40 million market cap, represents a Premium Paid of 110% to the unaffected market cap of $19 million. Wainwright performed an additional precedent transactions analysis, which is designed to imply the value of a company based on publicly available financial terms of selected transactions that share some characteristics with the Offer and the Merger. In connection with its analysis,</w:t>
      </w:r>
    </w:p>
    <w:p>
      <w:pPr>
        <w:spacing w:after="0" w:line="84"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Wainwright compared publicly available statistics for selected biopharmaceutical sector transactions announced between March 2023 and February 2025 for companies with Enterprise values ranging between minus $2.3 million and $16.6 million. The following is a list of the transactions reviewed: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Premiums Paid: Public Microcap Companies – Enterprise Values Between ($2.3 million) and $16.6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182880</wp:posOffset>
            </wp:positionV>
            <wp:extent cx="5323205" cy="30435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23205"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Premiums Paid</w:t>
            </w: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25%</w:t>
            </w:r>
          </w:p>
        </w:tc>
        <w:tc>
          <w:tcPr>
            <w:tcW w:w="380" w:type="dxa"/>
            <w:vAlign w:val="bottom"/>
          </w:tcPr>
          <w:p>
            <w:pPr>
              <w:spacing w:after="0"/>
              <w:rPr>
                <w:sz w:val="18"/>
                <w:szCs w:val="18"/>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Mean</w:t>
            </w:r>
          </w:p>
        </w:tc>
        <w:tc>
          <w:tcPr>
            <w:tcW w:w="38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380" w:type="dxa"/>
            <w:vAlign w:val="bottom"/>
          </w:tcPr>
          <w:p>
            <w:pPr>
              <w:spacing w:after="0"/>
              <w:rPr>
                <w:sz w:val="18"/>
                <w:szCs w:val="18"/>
                <w:color w:val="auto"/>
              </w:rPr>
            </w:pP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75%</w:t>
            </w:r>
          </w:p>
        </w:tc>
      </w:tr>
      <w:tr>
        <w:trPr>
          <w:trHeight w:val="242"/>
        </w:trPr>
        <w:tc>
          <w:tcPr>
            <w:tcW w:w="5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54"/>
        </w:trPr>
        <w:tc>
          <w:tcPr>
            <w:tcW w:w="51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implied value range between $2.2 million and $20.0 million is compared to the proposed price of $40 million.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premiums paid range of (23.3%) to 112.1% compares to the proposed premium of 110%.</w:t>
      </w:r>
    </w:p>
    <w:p>
      <w:pPr>
        <w:spacing w:after="0" w:line="99" w:lineRule="exact"/>
        <w:rPr>
          <w:sz w:val="20"/>
          <w:szCs w:val="20"/>
          <w:color w:val="auto"/>
        </w:rPr>
      </w:pPr>
    </w:p>
    <w:p>
      <w:pPr>
        <w:ind w:left="300" w:right="319"/>
        <w:spacing w:after="0" w:line="272" w:lineRule="auto"/>
        <w:rPr>
          <w:sz w:val="20"/>
          <w:szCs w:val="20"/>
          <w:color w:val="auto"/>
        </w:rPr>
      </w:pPr>
      <w:r>
        <w:rPr>
          <w:rFonts w:ascii="Times New Roman" w:cs="Times New Roman" w:eastAsia="Times New Roman" w:hAnsi="Times New Roman"/>
          <w:sz w:val="17"/>
          <w:szCs w:val="17"/>
          <w:color w:val="auto"/>
        </w:rPr>
        <w:t>No company or transaction utilized in the precedent transactions analysis is identical to the Company or the Offer and the Merger. In evaluating the precedent transactions, Wainwright made judgments and assumptions with regard to industry performance, general business, market and financial conditions and other matters, which are beyond the control of the Company, such as the impact of competition on the business of the Company or the industry generally, industry growth and the absence of any adverse material change in the financial condition of the Company or the industry or in the financial markets in general, which could affect the public trading value of the companies and the aggregate value and equity value of the transactions to which they are being compared. Mathematical analysis (such as determining the mean and median) is not in itself a meaningful method of using precedent transaction data.</w:t>
      </w:r>
    </w:p>
    <w:p>
      <w:pPr>
        <w:spacing w:after="0" w:line="62"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i w:val="1"/>
          <w:iCs w:val="1"/>
          <w:color w:val="auto"/>
        </w:rPr>
        <w:t>Analysis of Comparable Companies</w:t>
      </w:r>
      <w:r>
        <w:rPr>
          <w:rFonts w:ascii="Times New Roman" w:cs="Times New Roman" w:eastAsia="Times New Roman" w:hAnsi="Times New Roman"/>
          <w:sz w:val="18"/>
          <w:szCs w:val="18"/>
          <w:color w:val="auto"/>
        </w:rPr>
        <w:t>: Wainwright also evaluated the implied enterprise valuation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a comparable company analysis. The comparable company analysis uses data based on current enterprise values of public companies that Wainwright viewed as comparable to the Company to develop a measure of current value for the Company. Wainwright reviewed the total enterprise values of selected publicly traded, clinical-stage life science development companies focused on oncology indications that Wainwright viewed as operating in an area of focus similar to the Company. The selected comparable public companies shown in the table below had an enterprise valuation range of between ($99 million) and $244 million.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Public Comparable Phase 1 and 2 Companies – Enterprise Values less than $500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182880</wp:posOffset>
            </wp:positionV>
            <wp:extent cx="5280660" cy="30435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80660"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197485</wp:posOffset>
            </wp:positionV>
            <wp:extent cx="5271770" cy="2323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71770" cy="232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Enterprise Value</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25%</w:t>
            </w:r>
          </w:p>
        </w:tc>
        <w:tc>
          <w:tcPr>
            <w:tcW w:w="46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Mean</w:t>
            </w:r>
          </w:p>
        </w:tc>
        <w:tc>
          <w:tcPr>
            <w:tcW w:w="46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75%</w:t>
            </w:r>
          </w:p>
        </w:tc>
      </w:tr>
      <w:tr>
        <w:trPr>
          <w:trHeight w:val="23"/>
        </w:trPr>
        <w:tc>
          <w:tcPr>
            <w:tcW w:w="50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3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3"/>
              </w:rPr>
              <w:t>($4)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9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$78</w:t>
            </w:r>
          </w:p>
        </w:tc>
      </w:tr>
      <w:tr>
        <w:trPr>
          <w:trHeight w:val="54"/>
        </w:trPr>
        <w:tc>
          <w:tcPr>
            <w:tcW w:w="50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The implied Enterprise value of the Phase 1 and Phase 2 Public Comparable biotech companies ranged between ($4 million) and $78 million versus the implied Enterprise Value of the proposed transaction of $17 million.</w:t>
      </w:r>
    </w:p>
    <w:p>
      <w:pPr>
        <w:spacing w:after="0" w:line="54"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Based upon and subject to the assumptions, factors, qualifications and limitations set forth in the written opinion described herein and the results of the application by Wainwright of each of the valuation methodologies utilized in connection with its fairness opinion as Enterprise Value 25% Mean Median 75% ($ in millions) ($4) $39 $13 $78 summarized above, taken as a whole, Wainwright concluded that the Offer Price was fair, from a financial point of view, to the holders of Common Shares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Wainwright is a nationally recognized investment banking firm that provides financial advisory services and is continually engaged in the valuation of businesses and their securities in connection with mergers and acquisitions, negotiated underwritings, secondary distributions of listed and unlisted securities, private placements and valuations for corporate and other purposes. The Company retained Wainwright to render an opinion to the Board as to the fairness, from a financial point of view, to the Company of the Offer Price pursuant to the Merger Agreement based upon the foregoing qualifications, experience and expertise.</w:t>
      </w:r>
    </w:p>
    <w:p>
      <w:pPr>
        <w:spacing w:after="0" w:line="79"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paid Wainwright a cash fee of $250,000 for rendering its fairness opinion delivered in connection with the Offer and the Merger. The opinion fee was not contingent in whole or in part on the success of the Offer and the Merger, or on the results of Wainwright’s evaluation and analysis or upon the conclusions reached in Wainwright’s opinion. In addition, the Company agreed to reimburse Wainwright for its reasonable, documented, out-of-pocket expenses, including reasonable documented fees and disbursements of its counsel. The Company has also agreed to indemnify Wainwright against certain liabilities and other items that may arise out of the Company’s engagement of Wainwright. The Board did not limit Wainwright in any way in the investigations it made or the procedures it followed in rendering its opinion.</w:t>
      </w:r>
    </w:p>
    <w:p>
      <w:pPr>
        <w:spacing w:after="0" w:line="84" w:lineRule="exact"/>
        <w:rPr>
          <w:sz w:val="20"/>
          <w:szCs w:val="20"/>
          <w:color w:val="auto"/>
        </w:rPr>
      </w:pPr>
    </w:p>
    <w:p>
      <w:pPr>
        <w:ind w:left="300" w:right="579"/>
        <w:spacing w:after="0" w:line="266" w:lineRule="auto"/>
        <w:rPr>
          <w:sz w:val="20"/>
          <w:szCs w:val="20"/>
          <w:color w:val="auto"/>
        </w:rPr>
      </w:pPr>
      <w:r>
        <w:rPr>
          <w:rFonts w:ascii="Times New Roman" w:cs="Times New Roman" w:eastAsia="Times New Roman" w:hAnsi="Times New Roman"/>
          <w:sz w:val="18"/>
          <w:szCs w:val="18"/>
          <w:color w:val="auto"/>
        </w:rPr>
        <w:t>In addition, Wainwright had entered into a Strategic Advisory Agreement with the Company pursuant to which Wainwright received a retainer fee of $250,000 at the execution of the Strategic Advisory Agreement and has the right to receive $100,000 at the closing of the Transactions.</w:t>
      </w:r>
    </w:p>
    <w:p>
      <w:pPr>
        <w:spacing w:after="0" w:line="68"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In addition, the Company had paid $250,000 for delivering a Fairness Opinion dated March 6, 2026 on the prior proposed terms of the Transaction.</w:t>
      </w:r>
    </w:p>
    <w:p>
      <w:pPr>
        <w:spacing w:after="0" w:line="54"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In addition, Wainwright has received $37,589 in cash fees for sales made under the Company’s ATM facility, of which $27,146 were paid in 2025, $581 were paid in 2024, and $9,862 were paid in 2023. Wainwright has not received compensation from Parent, the Purchaser or their respective affiliates or provided to any such person, any investment banking or financial advisory services within the two (2) year period preceding the date hereof.</w:t>
      </w:r>
    </w:p>
    <w:p>
      <w:pPr>
        <w:spacing w:after="0" w:line="72" w:lineRule="exact"/>
        <w:rPr>
          <w:sz w:val="20"/>
          <w:szCs w:val="20"/>
          <w:color w:val="auto"/>
        </w:rPr>
      </w:pPr>
    </w:p>
    <w:p>
      <w:pPr>
        <w:ind w:left="300" w:right="49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Wainwright and its affiliates may acquire, hold or sell, for its and its affiliates’ own accounts and for the accounts of customers, equity, debt and other securities and financial instruments (including bank loans and other obligations) of Parent and the Company, and, accordingly, may at any time hold a long or a short position in such securities. Wainwright may provide financial advisory and investment banking services to the Company or its affiliates for which Wainwright would expect to receive compensation. Wainwright does not have any engagements with the Company other than the Strategic Advisory Agreement and ATM facility referenced above. Wainwright does not have any engagements with Kuva.</w:t>
      </w:r>
    </w:p>
    <w:p>
      <w:pPr>
        <w:spacing w:after="0" w:line="81"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Consistent with applicable legal and regulatory requirements, Wainwright has adopted policies and procedures to establish and maintain the independence of its research departments and personnel. As a result, Wainwright’s research analysts may hold views, make statements or investment recommendations and/or publish research reports with respect to Parent, the Company and/or the Offer and the Merger that differ from the views of its investment banking personnel.</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Company Forecasted Financial Information</w:t>
      </w:r>
    </w:p>
    <w:p>
      <w:pPr>
        <w:spacing w:after="0" w:line="121"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The Company does not, as a matter of course, make public projections as to future results due to the inherent unpredictability of the underlying assumptions and such projections themselves. However, in connection with the Board’s review of potential strategic alternatives (including the Merger), the Company’s management prepared a 2026 cash flow (expenses) forecast, reflecting the best then-available estimates and judgments of the Company’s management on a non-risk adjusted basis (the “</w:t>
      </w:r>
      <w:r>
        <w:rPr>
          <w:rFonts w:ascii="Times New Roman" w:cs="Times New Roman" w:eastAsia="Times New Roman" w:hAnsi="Times New Roman"/>
          <w:sz w:val="18"/>
          <w:szCs w:val="18"/>
          <w:b w:val="1"/>
          <w:bCs w:val="1"/>
          <w:color w:val="auto"/>
        </w:rPr>
        <w:t>Company Projections</w:t>
      </w:r>
      <w:r>
        <w:rPr>
          <w:rFonts w:ascii="Times New Roman" w:cs="Times New Roman" w:eastAsia="Times New Roman" w:hAnsi="Times New Roman"/>
          <w:sz w:val="18"/>
          <w:szCs w:val="18"/>
          <w:color w:val="auto"/>
        </w:rPr>
        <w:t>”). The Company Projections were reviewed by Wainwright but were not used or relied upon in any of the financial analyses performed by Wainwright in connection with its fairness opinion. Similarly, the Company Projections were reviewed by the Board in connection with Wainwright’s presentation to the Board, but were not used or relied upon in any of the Board’s analysis of Wainwright’s Opinion or assessment of Kuva’s offers.</w:t>
      </w:r>
    </w:p>
    <w:p>
      <w:pPr>
        <w:spacing w:after="0" w:line="80"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 Company Projections reflect estimates and assumptions made by the Company’s management with respect to the Company’s operating expenses; working capital needs; general business, economic, competitive, regulatory and other market and financial conditions; and other future events, all of which are difficult to predict and many of which are beyond the Company’s control. In particular, the Company Projections, while presented with numerical specificity, necessarily were based on numerous variables and assumptions that are inherently uncertain.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The Company Projections were developed solely using information available to the Company’s management at the time that they were created and reflect assumptions as to certain business decisions that are subject to change. Important factors that may affect actual results or that may result in the Company Projections not being achieved include, among others, the risk factors described in the Company’s Annual Report on Form 10-K for the fiscal year ended December 31, 2025. Modeling and forecasting the future in the life sciences industry, in particular, is a highly speculative endeavor.</w:t>
      </w:r>
    </w:p>
    <w:p>
      <w:pPr>
        <w:spacing w:after="0" w:line="79"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None of the Company, Parent, Purchaser or any of their respective affiliates, advisors or other representatives (including Wainwright) make any representation to any stockholder regarding the validity, reasonableness, accuracy or completeness of the Company Projections or the ultimate performance of the Company relative to the Company Projections. The Company Projections were not prepared with a view toward public disclosure or toward complying with U.S. GAAP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the published guidelines of the SEC regarding projections or the guidelines established by the American Institute of Certified Public Accountants for preparation and presentation of prospective financial information. Neither the Company’s independent registered public accounting firm, nor any other independent accountants, has audited, reviewed, compiled or performed any procedures with respect to the Company Projections or expressed any opinion or any form of assurance related thereto. The inclusion of the Company Projections in this Schedule 14D- 9 does not constitute an admission or representation of the Company, Parent, Purchaser or any of their respective affiliates, advisors or other representatives (including Wainwright) that the Company Projections or the information contained therein is material. The Company Projections were prepared prior to the execution of the Merger Agreement and do not account for any events, transactions or circumstances after the date that they were prepared, and the announcement of the Offer and the Merger. Except as required by applicable law, neither the Company nor any of its affiliates, advisors or other representatives (including Wainwright) intends to, and each of them disclaims any obligation to, update, correct or otherwise revise the Company Projections if it changed or changes or otherwise, is or becomes inappropriate (even in the short term).</w:t>
      </w:r>
    </w:p>
    <w:p>
      <w:pPr>
        <w:spacing w:after="0" w:line="85" w:lineRule="exact"/>
        <w:rPr>
          <w:sz w:val="20"/>
          <w:szCs w:val="20"/>
          <w:color w:val="auto"/>
        </w:rPr>
      </w:pPr>
    </w:p>
    <w:p>
      <w:pPr>
        <w:ind w:left="300" w:right="419"/>
        <w:spacing w:after="0" w:line="272" w:lineRule="auto"/>
        <w:rPr>
          <w:sz w:val="20"/>
          <w:szCs w:val="20"/>
          <w:color w:val="auto"/>
        </w:rPr>
      </w:pPr>
      <w:r>
        <w:rPr>
          <w:rFonts w:ascii="Times New Roman" w:cs="Times New Roman" w:eastAsia="Times New Roman" w:hAnsi="Times New Roman"/>
          <w:sz w:val="17"/>
          <w:szCs w:val="17"/>
          <w:color w:val="auto"/>
        </w:rPr>
        <w:t>The Company Projections should be evaluated in conjunction with the historical financial statements and other information regarding the Company disclosed in the Company’s public filings with the SEC. The Company Projections were developed by the Company’s management on a standalone basis without giving effect to the Transactions, the Offer or the Merger, and therefore the Company Projections do not give effect to the Transactions or any changes to the Company’s operations or strategy that may be implemented after the consummation of the Transactions, including, among others, any costs incurred in connection with the Transactions. Furthermore, the Company Projections do not take into account the effect of any failure of the proposed Transactions, and the failure of the Offer or the Merger to be completed and should not be viewed as accurate or continuing in that context.</w:t>
      </w:r>
    </w:p>
    <w:p>
      <w:pPr>
        <w:spacing w:after="0" w:line="64"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The Company Projections further reflect subjective judgment in many respects and, therefore, are susceptible to multiple interpretations and periodic revisions based on actual experience and business developments. The inclusion of the Company Projections should not be regarded as an indication that the Company, Parent, Purchaser or any of their respective affiliates, advisors or other representatives (including Wainwright), or anyone who received the Company Projections then considered, or now considers, the Company Projections to be necessarily predictive of actual future events, and this information should not be relied upon as such. The Company’s management views the Company Projections as being subject to inherent risks and uncertainties associated with such projections. The Company Projections may differ from published analyst estimates and forecasts.</w:t>
      </w:r>
    </w:p>
    <w:p>
      <w:pPr>
        <w:spacing w:after="0" w:line="80"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b w:val="1"/>
          <w:bCs w:val="1"/>
          <w:color w:val="auto"/>
        </w:rPr>
        <w:t>EXCEPT TO THE EXTENT REQUIRED BY APPLICABLE LAW, THE COMPANY DOES NOT INTEND, AND EXPRESSLY DISCLAIMS ANY RESPONSIBILITY, TO UPDATE OR OTHERWISE REVISE OR RECONCILE THE COMPANY PROJECTIONS TO REFLECT CIRCUMSTANCES EXISTING AFTER THE DATE WHEN THE COMPANY PREPARED THE PROJECTIONS OR TO REFLECT THE OCCURRENCE OF FUTURE EVENTS OR CHANGES IN GENERAL ECONOMIC OR INDUSTRY CONDITIONS, EVEN IN THE EVENT THAT ANY OF THE ASSUMPTIONS UNDERLYING THE COMPANY PROJECTIONS ARE SHOWN NOT TO BE APPROPRIATE.</w:t>
      </w:r>
    </w:p>
    <w:p>
      <w:pPr>
        <w:spacing w:after="0" w:line="7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In light of the foregoing factors and uncertainties inherent in the Company Projections, the Company’s stockholders are cautioned not to place undue, if any, reliance on the Company Projections set forth below. The information and table set forth below are included solely to give the Company’s stockholders access to the Company Projections that were made available to the Board and Wainwright and are not included in this Schedule 14D-9 in order to influence any Company stockholder to make any investment decision with respect to the Offer or as to whether or not such holder should tender his, her, or its Shares in connection with the Offer or otherwise how to act with respect to the Offer or any other matter.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540" w:right="560"/>
        <w:spacing w:after="0" w:line="252" w:lineRule="auto"/>
        <w:rPr>
          <w:sz w:val="20"/>
          <w:szCs w:val="20"/>
          <w:color w:val="auto"/>
        </w:rPr>
      </w:pPr>
      <w:r>
        <w:rPr>
          <w:rFonts w:ascii="Times New Roman" w:cs="Times New Roman" w:eastAsia="Times New Roman" w:hAnsi="Times New Roman"/>
          <w:sz w:val="18"/>
          <w:szCs w:val="18"/>
          <w:color w:val="auto"/>
        </w:rPr>
        <w:t>Certain of the measures included in the Company Projections are non-GAAP financial measures, including Net Loss Before Taxes, Net Cash Used by Operating Activities, and Net Cash Used by Financing Activities. Such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non-GAAP financial measures should be considered together with, and not as an alternative to, financial measures prepared in accordance with GAAP. The Company’s management included such measures in the Company Projections because Company management viewed such measures as useful in evaluating, on a prospective basis, the potential operating expenses and cash flow of the Company. The SEC rules, which otherwise would require a reconciliation of a non- GAAP financial measure to a GAAP financial measure, do not apply to non-GAAP financial measures provided to a board of directors or financial advisors in connection with a proposed business combination transaction such as the Offer or the Merger if the disclosure is included in a document such as this Schedule 14D-9. In addition, reconciliations of non-GAAP financial measures to a GAAP financial measure were not provided to or relied upon by the Board in connection with its evaluation of potential strategic alternatives, including the Offer or Merger, or provided to or relied on by Wainwright in connection with its financial analyses and the opinion that Wainwright rendered in connection with the Offer and the Merger. Accordingly, the Company has not provided a reconciliation of the financial measures included in the Company Projections to the relevant GAAP financial measures.</w:t>
      </w:r>
    </w:p>
    <w:p>
      <w:pPr>
        <w:spacing w:after="0" w:line="84" w:lineRule="exact"/>
        <w:rPr>
          <w:sz w:val="20"/>
          <w:szCs w:val="20"/>
          <w:color w:val="auto"/>
        </w:rPr>
      </w:pPr>
    </w:p>
    <w:p>
      <w:pPr>
        <w:ind w:left="540" w:right="620"/>
        <w:spacing w:after="0" w:line="254" w:lineRule="auto"/>
        <w:rPr>
          <w:sz w:val="20"/>
          <w:szCs w:val="20"/>
          <w:color w:val="auto"/>
        </w:rPr>
      </w:pPr>
      <w:r>
        <w:rPr>
          <w:rFonts w:ascii="Times New Roman" w:cs="Times New Roman" w:eastAsia="Times New Roman" w:hAnsi="Times New Roman"/>
          <w:sz w:val="18"/>
          <w:szCs w:val="18"/>
          <w:color w:val="auto"/>
        </w:rPr>
        <w:t>Non-GAAP financial measures should not be considered in isolation from, or as a substitute for or superior measure to, financial information presented in compliance with GAAP. The Company’s stockholders should also note that these non-GAAP financial measures presented in this Schedule 14D-9 have no standardized meaning prescribed by GAAP, and therefore have limits in their usefulness. Because of the non-standardized definitions, the non-GAAP financial measures as used by the Company in this Schedule 14D-9 and the accompanying line items may be calculated differently from, and therefore may not be comparable to, similarly titled amounts used by other companies. Net Loss Before Taxes, Net Cash Used by Operating Activities, and Net Cash Used by Financing Activities should not be considered as alternatives to operating income or net income as a measure of operating performance or cash flow or as a measure of liquidity.</w:t>
      </w:r>
    </w:p>
    <w:p>
      <w:pPr>
        <w:spacing w:after="0" w:line="80" w:lineRule="exact"/>
        <w:rPr>
          <w:sz w:val="20"/>
          <w:szCs w:val="20"/>
          <w:color w:val="auto"/>
        </w:rPr>
      </w:pPr>
    </w:p>
    <w:p>
      <w:pPr>
        <w:ind w:left="540" w:right="6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 Projections prepared by the Company’s management and provided to the Board and Wainwright.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0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80" w:type="dxa"/>
            <w:vAlign w:val="bottom"/>
          </w:tcPr>
          <w:p>
            <w:pPr>
              <w:spacing w:after="0"/>
              <w:rPr>
                <w:sz w:val="15"/>
                <w:szCs w:val="15"/>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8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w:t>
            </w:r>
          </w:p>
        </w:tc>
        <w:tc>
          <w:tcPr>
            <w:tcW w:w="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w:t>
            </w:r>
          </w:p>
        </w:tc>
        <w:tc>
          <w:tcPr>
            <w:tcW w:w="80" w:type="dxa"/>
            <w:vAlign w:val="bottom"/>
          </w:tcPr>
          <w:p>
            <w:pPr>
              <w:spacing w:after="0"/>
              <w:rPr>
                <w:sz w:val="15"/>
                <w:szCs w:val="15"/>
                <w:color w:val="auto"/>
              </w:rPr>
            </w:pPr>
          </w:p>
        </w:tc>
        <w:tc>
          <w:tcPr>
            <w:tcW w:w="500" w:type="dxa"/>
            <w:vAlign w:val="bottom"/>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LE</w:t>
            </w:r>
          </w:p>
        </w:tc>
        <w:tc>
          <w:tcPr>
            <w:tcW w:w="8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w:t>
            </w:r>
          </w:p>
        </w:tc>
        <w:tc>
          <w:tcPr>
            <w:tcW w:w="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w:t>
            </w:r>
          </w:p>
        </w:tc>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w:t>
            </w:r>
          </w:p>
        </w:tc>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w:t>
            </w:r>
          </w:p>
        </w:tc>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w:t>
            </w: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w:t>
            </w:r>
          </w:p>
        </w:tc>
      </w:tr>
      <w:tr>
        <w:trPr>
          <w:trHeight w:val="247"/>
        </w:trPr>
        <w:tc>
          <w:tcPr>
            <w:tcW w:w="170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Jan-26   Feb-26</w:t>
            </w:r>
          </w:p>
        </w:tc>
        <w:tc>
          <w:tcPr>
            <w:tcW w:w="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Mar-26</w:t>
            </w:r>
          </w:p>
        </w:tc>
        <w:tc>
          <w:tcPr>
            <w:tcW w:w="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Apr-26</w:t>
            </w:r>
          </w:p>
        </w:tc>
        <w:tc>
          <w:tcPr>
            <w:tcW w:w="8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May-26</w:t>
            </w:r>
          </w:p>
        </w:tc>
        <w:tc>
          <w:tcPr>
            <w:tcW w:w="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Jun-26</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Jul-26</w:t>
            </w:r>
          </w:p>
        </w:tc>
        <w:tc>
          <w:tcPr>
            <w:tcW w:w="8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Aug-26</w:t>
            </w:r>
          </w:p>
        </w:tc>
        <w:tc>
          <w:tcPr>
            <w:tcW w:w="80" w:type="dxa"/>
            <w:vAlign w:val="bottom"/>
          </w:tcPr>
          <w:p>
            <w:pPr>
              <w:spacing w:after="0"/>
              <w:rPr>
                <w:sz w:val="21"/>
                <w:szCs w:val="2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Sep-26</w:t>
            </w:r>
          </w:p>
        </w:tc>
        <w:tc>
          <w:tcPr>
            <w:tcW w:w="8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Oct-26</w:t>
            </w:r>
          </w:p>
        </w:tc>
        <w:tc>
          <w:tcPr>
            <w:tcW w:w="8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Nov-26</w:t>
            </w:r>
          </w:p>
        </w:tc>
        <w:tc>
          <w:tcPr>
            <w:tcW w:w="8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Dec-26</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3"/>
        </w:trPr>
        <w:tc>
          <w:tcPr>
            <w:tcW w:w="17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 from Operations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82"/>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 Before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($ 1,010)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($ 1,648)</w:t>
            </w:r>
          </w:p>
        </w:tc>
        <w:tc>
          <w:tcPr>
            <w:tcW w:w="620" w:type="dxa"/>
            <w:vAlign w:val="bottom"/>
            <w:gridSpan w:val="2"/>
          </w:tcPr>
          <w:p>
            <w:pPr>
              <w:jc w:val="center"/>
              <w:ind w:left="13"/>
              <w:spacing w:after="0"/>
              <w:rPr>
                <w:sz w:val="20"/>
                <w:szCs w:val="20"/>
                <w:color w:val="auto"/>
              </w:rPr>
            </w:pPr>
            <w:r>
              <w:rPr>
                <w:rFonts w:ascii="Times New Roman" w:cs="Times New Roman" w:eastAsia="Times New Roman" w:hAnsi="Times New Roman"/>
                <w:sz w:val="13"/>
                <w:szCs w:val="13"/>
                <w:color w:val="auto"/>
              </w:rPr>
              <w:t>($ 2,218)</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($ 1,192)</w:t>
            </w:r>
          </w:p>
        </w:tc>
        <w:tc>
          <w:tcPr>
            <w:tcW w:w="640" w:type="dxa"/>
            <w:vAlign w:val="bottom"/>
            <w:gridSpan w:val="2"/>
          </w:tcPr>
          <w:p>
            <w:pPr>
              <w:jc w:val="center"/>
              <w:ind w:left="13"/>
              <w:spacing w:after="0"/>
              <w:rPr>
                <w:sz w:val="20"/>
                <w:szCs w:val="20"/>
                <w:color w:val="auto"/>
              </w:rPr>
            </w:pPr>
            <w:r>
              <w:rPr>
                <w:rFonts w:ascii="Times New Roman" w:cs="Times New Roman" w:eastAsia="Times New Roman" w:hAnsi="Times New Roman"/>
                <w:sz w:val="13"/>
                <w:szCs w:val="13"/>
                <w:color w:val="auto"/>
              </w:rPr>
              <w:t>($ 3,037)</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($ 1,449)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($ 1,022)</w:t>
            </w:r>
          </w:p>
        </w:tc>
        <w:tc>
          <w:tcPr>
            <w:tcW w:w="60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color w:val="auto"/>
              </w:rPr>
              <w:t>($  910)</w:t>
            </w:r>
          </w:p>
        </w:tc>
        <w:tc>
          <w:tcPr>
            <w:tcW w:w="56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color w:val="auto"/>
              </w:rPr>
              <w:t>($1,146)</w:t>
            </w:r>
          </w:p>
        </w:tc>
        <w:tc>
          <w:tcPr>
            <w:tcW w:w="580" w:type="dxa"/>
            <w:vAlign w:val="bottom"/>
            <w:gridSpan w:val="2"/>
          </w:tcPr>
          <w:p>
            <w:pPr>
              <w:jc w:val="center"/>
              <w:ind w:left="13"/>
              <w:spacing w:after="0"/>
              <w:rPr>
                <w:sz w:val="20"/>
                <w:szCs w:val="20"/>
                <w:color w:val="auto"/>
              </w:rPr>
            </w:pPr>
            <w:r>
              <w:rPr>
                <w:rFonts w:ascii="Times New Roman" w:cs="Times New Roman" w:eastAsia="Times New Roman" w:hAnsi="Times New Roman"/>
                <w:sz w:val="13"/>
                <w:szCs w:val="13"/>
                <w:color w:val="auto"/>
              </w:rPr>
              <w:t>($  822)</w:t>
            </w:r>
          </w:p>
        </w:tc>
        <w:tc>
          <w:tcPr>
            <w:tcW w:w="580" w:type="dxa"/>
            <w:vAlign w:val="bottom"/>
            <w:gridSpan w:val="2"/>
          </w:tcPr>
          <w:p>
            <w:pPr>
              <w:jc w:val="center"/>
              <w:ind w:left="13"/>
              <w:spacing w:after="0"/>
              <w:rPr>
                <w:sz w:val="20"/>
                <w:szCs w:val="20"/>
                <w:color w:val="auto"/>
              </w:rPr>
            </w:pPr>
            <w:r>
              <w:rPr>
                <w:rFonts w:ascii="Times New Roman" w:cs="Times New Roman" w:eastAsia="Times New Roman" w:hAnsi="Times New Roman"/>
                <w:sz w:val="13"/>
                <w:szCs w:val="13"/>
                <w:color w:val="auto"/>
              </w:rPr>
              <w:t>($  841)</w:t>
            </w:r>
          </w:p>
        </w:tc>
        <w:tc>
          <w:tcPr>
            <w:tcW w:w="580" w:type="dxa"/>
            <w:vAlign w:val="bottom"/>
            <w:gridSpan w:val="2"/>
          </w:tcPr>
          <w:p>
            <w:pPr>
              <w:jc w:val="center"/>
              <w:ind w:left="13"/>
              <w:spacing w:after="0"/>
              <w:rPr>
                <w:sz w:val="20"/>
                <w:szCs w:val="20"/>
                <w:color w:val="auto"/>
              </w:rPr>
            </w:pPr>
            <w:r>
              <w:rPr>
                <w:rFonts w:ascii="Times New Roman" w:cs="Times New Roman" w:eastAsia="Times New Roman" w:hAnsi="Times New Roman"/>
                <w:sz w:val="13"/>
                <w:szCs w:val="13"/>
                <w:color w:val="auto"/>
              </w:rPr>
              <w:t>($1,501)</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($ 16,797)</w:t>
            </w:r>
          </w:p>
        </w:tc>
      </w:tr>
      <w:tr>
        <w:trPr>
          <w:trHeight w:val="15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Benefit from Income</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88"/>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Taxes</w:t>
            </w:r>
          </w:p>
        </w:tc>
        <w:tc>
          <w:tcPr>
            <w:tcW w:w="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387</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387</w:t>
            </w:r>
          </w:p>
        </w:tc>
      </w:tr>
      <w:tr>
        <w:trPr>
          <w:trHeight w:val="149"/>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 Based</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Compensation</w:t>
            </w: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32"/>
              <w:spacing w:after="0"/>
              <w:rPr>
                <w:sz w:val="20"/>
                <w:szCs w:val="20"/>
                <w:color w:val="auto"/>
              </w:rPr>
            </w:pPr>
            <w:r>
              <w:rPr>
                <w:rFonts w:ascii="Times New Roman" w:cs="Times New Roman" w:eastAsia="Times New Roman" w:hAnsi="Times New Roman"/>
                <w:sz w:val="13"/>
                <w:szCs w:val="13"/>
                <w:color w:val="auto"/>
              </w:rPr>
              <w:t>364</w:t>
            </w:r>
          </w:p>
        </w:tc>
        <w:tc>
          <w:tcPr>
            <w:tcW w:w="8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52"/>
              <w:spacing w:after="0"/>
              <w:rPr>
                <w:sz w:val="20"/>
                <w:szCs w:val="20"/>
                <w:color w:val="auto"/>
              </w:rPr>
            </w:pPr>
            <w:r>
              <w:rPr>
                <w:rFonts w:ascii="Times New Roman" w:cs="Times New Roman" w:eastAsia="Times New Roman" w:hAnsi="Times New Roman"/>
                <w:sz w:val="13"/>
                <w:szCs w:val="13"/>
                <w:color w:val="auto"/>
              </w:rPr>
              <w:t>235</w:t>
            </w:r>
          </w:p>
        </w:tc>
        <w:tc>
          <w:tcPr>
            <w:tcW w:w="8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32"/>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13"/>
                <w:szCs w:val="13"/>
                <w:color w:val="auto"/>
              </w:rPr>
              <w:t>565</w:t>
            </w:r>
          </w:p>
        </w:tc>
        <w:tc>
          <w:tcPr>
            <w:tcW w:w="66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1,404</w:t>
            </w:r>
          </w:p>
        </w:tc>
      </w:tr>
      <w:tr>
        <w:trPr>
          <w:trHeight w:val="15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88"/>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w:t>
            </w:r>
          </w:p>
        </w:tc>
        <w:tc>
          <w:tcPr>
            <w:tcW w:w="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1</w:t>
            </w:r>
          </w:p>
        </w:tc>
        <w:tc>
          <w:tcPr>
            <w:tcW w:w="62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6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1</w:t>
            </w:r>
          </w:p>
        </w:tc>
        <w:tc>
          <w:tcPr>
            <w:tcW w:w="6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3</w:t>
            </w:r>
          </w:p>
        </w:tc>
      </w:tr>
      <w:tr>
        <w:trPr>
          <w:trHeight w:val="182"/>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Adjustments</w:t>
            </w: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18</w:t>
            </w:r>
          </w:p>
        </w:tc>
        <w:tc>
          <w:tcPr>
            <w:tcW w:w="62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620" w:type="dxa"/>
            <w:vAlign w:val="bottom"/>
            <w:gridSpan w:val="2"/>
          </w:tcPr>
          <w:p>
            <w:pPr>
              <w:jc w:val="right"/>
              <w:ind w:right="52"/>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Total Adjustment to</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48"/>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b w:val="1"/>
                <w:bCs w:val="1"/>
                <w:color w:val="auto"/>
              </w:rPr>
              <w:t>Reconcile to Net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92"/>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(992)</w:t>
            </w:r>
          </w:p>
        </w:tc>
        <w:tc>
          <w:tcPr>
            <w:tcW w:w="6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(1,252)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(1,863)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(1,182)</w:t>
            </w:r>
          </w:p>
        </w:tc>
        <w:tc>
          <w:tcPr>
            <w:tcW w:w="6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(3,037)</w:t>
            </w:r>
          </w:p>
        </w:tc>
        <w:tc>
          <w:tcPr>
            <w:tcW w:w="6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(1,214)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(14,977)</w:t>
            </w:r>
          </w:p>
        </w:tc>
      </w:tr>
      <w:tr>
        <w:trPr>
          <w:trHeight w:val="149"/>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Changes in Working</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Capital</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6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1,002</w:t>
            </w:r>
          </w:p>
        </w:tc>
        <w:tc>
          <w:tcPr>
            <w:tcW w:w="620" w:type="dxa"/>
            <w:vAlign w:val="bottom"/>
            <w:gridSpan w:val="2"/>
          </w:tcPr>
          <w:p>
            <w:pPr>
              <w:jc w:val="right"/>
              <w:ind w:right="32"/>
              <w:spacing w:after="0"/>
              <w:rPr>
                <w:sz w:val="20"/>
                <w:szCs w:val="20"/>
                <w:color w:val="auto"/>
              </w:rPr>
            </w:pPr>
            <w:r>
              <w:rPr>
                <w:rFonts w:ascii="Times New Roman" w:cs="Times New Roman" w:eastAsia="Times New Roman" w:hAnsi="Times New Roman"/>
                <w:sz w:val="13"/>
                <w:szCs w:val="13"/>
                <w:color w:val="auto"/>
              </w:rPr>
              <w:t>364</w:t>
            </w:r>
          </w:p>
        </w:tc>
        <w:tc>
          <w:tcPr>
            <w:tcW w:w="620" w:type="dxa"/>
            <w:vAlign w:val="bottom"/>
            <w:gridSpan w:val="2"/>
          </w:tcPr>
          <w:p>
            <w:pPr>
              <w:jc w:val="right"/>
              <w:ind w:right="52"/>
              <w:spacing w:after="0"/>
              <w:rPr>
                <w:sz w:val="20"/>
                <w:szCs w:val="20"/>
                <w:color w:val="auto"/>
              </w:rPr>
            </w:pPr>
            <w:r>
              <w:rPr>
                <w:rFonts w:ascii="Times New Roman" w:cs="Times New Roman" w:eastAsia="Times New Roman" w:hAnsi="Times New Roman"/>
                <w:sz w:val="13"/>
                <w:szCs w:val="13"/>
                <w:color w:val="auto"/>
              </w:rPr>
              <w:t>69</w:t>
            </w:r>
          </w:p>
        </w:tc>
        <w:tc>
          <w:tcPr>
            <w:tcW w:w="640" w:type="dxa"/>
            <w:vAlign w:val="bottom"/>
            <w:gridSpan w:val="2"/>
          </w:tcPr>
          <w:p>
            <w:pPr>
              <w:jc w:val="right"/>
              <w:ind w:right="32"/>
              <w:spacing w:after="0"/>
              <w:rPr>
                <w:sz w:val="20"/>
                <w:szCs w:val="20"/>
                <w:color w:val="auto"/>
              </w:rPr>
            </w:pPr>
            <w:r>
              <w:rPr>
                <w:rFonts w:ascii="Times New Roman" w:cs="Times New Roman" w:eastAsia="Times New Roman" w:hAnsi="Times New Roman"/>
                <w:sz w:val="13"/>
                <w:szCs w:val="13"/>
                <w:color w:val="auto"/>
              </w:rPr>
              <w:t>1,505</w:t>
            </w:r>
          </w:p>
        </w:tc>
        <w:tc>
          <w:tcPr>
            <w:tcW w:w="620" w:type="dxa"/>
            <w:vAlign w:val="bottom"/>
            <w:gridSpan w:val="2"/>
          </w:tcPr>
          <w:p>
            <w:pPr>
              <w:jc w:val="right"/>
              <w:ind w:right="12"/>
              <w:spacing w:after="0"/>
              <w:rPr>
                <w:sz w:val="20"/>
                <w:szCs w:val="20"/>
                <w:color w:val="auto"/>
              </w:rPr>
            </w:pPr>
            <w:r>
              <w:rPr>
                <w:rFonts w:ascii="Times New Roman" w:cs="Times New Roman" w:eastAsia="Times New Roman" w:hAnsi="Times New Roman"/>
                <w:sz w:val="13"/>
                <w:szCs w:val="13"/>
                <w:color w:val="auto"/>
              </w:rPr>
              <w:t>(1,707)</w:t>
            </w:r>
          </w:p>
        </w:tc>
        <w:tc>
          <w:tcPr>
            <w:tcW w:w="580" w:type="dxa"/>
            <w:vAlign w:val="bottom"/>
            <w:gridSpan w:val="2"/>
          </w:tcPr>
          <w:p>
            <w:pPr>
              <w:jc w:val="right"/>
              <w:ind w:right="32"/>
              <w:spacing w:after="0"/>
              <w:rPr>
                <w:sz w:val="20"/>
                <w:szCs w:val="20"/>
                <w:color w:val="auto"/>
              </w:rPr>
            </w:pPr>
            <w:r>
              <w:rPr>
                <w:rFonts w:ascii="Times New Roman" w:cs="Times New Roman" w:eastAsia="Times New Roman" w:hAnsi="Times New Roman"/>
                <w:sz w:val="13"/>
                <w:szCs w:val="13"/>
                <w:color w:val="auto"/>
              </w:rPr>
              <w:t>21</w:t>
            </w:r>
          </w:p>
        </w:tc>
        <w:tc>
          <w:tcPr>
            <w:tcW w:w="600" w:type="dxa"/>
            <w:vAlign w:val="bottom"/>
            <w:gridSpan w:val="2"/>
          </w:tcPr>
          <w:p>
            <w:pPr>
              <w:jc w:val="right"/>
              <w:ind w:right="52"/>
              <w:spacing w:after="0"/>
              <w:rPr>
                <w:sz w:val="20"/>
                <w:szCs w:val="20"/>
                <w:color w:val="auto"/>
              </w:rPr>
            </w:pPr>
            <w:r>
              <w:rPr>
                <w:rFonts w:ascii="Times New Roman" w:cs="Times New Roman" w:eastAsia="Times New Roman" w:hAnsi="Times New Roman"/>
                <w:sz w:val="13"/>
                <w:szCs w:val="13"/>
                <w:color w:val="auto"/>
              </w:rPr>
              <w:t>63</w:t>
            </w:r>
          </w:p>
        </w:tc>
        <w:tc>
          <w:tcPr>
            <w:tcW w:w="560" w:type="dxa"/>
            <w:vAlign w:val="bottom"/>
            <w:gridSpan w:val="2"/>
          </w:tcPr>
          <w:p>
            <w:pPr>
              <w:jc w:val="right"/>
              <w:ind w:right="32"/>
              <w:spacing w:after="0"/>
              <w:rPr>
                <w:sz w:val="20"/>
                <w:szCs w:val="20"/>
                <w:color w:val="auto"/>
              </w:rPr>
            </w:pPr>
            <w:r>
              <w:rPr>
                <w:rFonts w:ascii="Times New Roman" w:cs="Times New Roman" w:eastAsia="Times New Roman" w:hAnsi="Times New Roman"/>
                <w:sz w:val="13"/>
                <w:szCs w:val="13"/>
                <w:color w:val="auto"/>
              </w:rPr>
              <w:t>253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580" w:type="dxa"/>
            <w:vAlign w:val="bottom"/>
            <w:gridSpan w:val="2"/>
          </w:tcPr>
          <w:p>
            <w:pPr>
              <w:jc w:val="right"/>
              <w:ind w:right="32"/>
              <w:spacing w:after="0"/>
              <w:rPr>
                <w:sz w:val="20"/>
                <w:szCs w:val="20"/>
                <w:color w:val="auto"/>
              </w:rPr>
            </w:pPr>
            <w:r>
              <w:rPr>
                <w:rFonts w:ascii="Times New Roman" w:cs="Times New Roman" w:eastAsia="Times New Roman" w:hAnsi="Times New Roman"/>
                <w:sz w:val="13"/>
                <w:szCs w:val="13"/>
                <w:color w:val="auto"/>
              </w:rPr>
              <w:t>165</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13"/>
                <w:szCs w:val="13"/>
                <w:color w:val="auto"/>
              </w:rPr>
              <w:t>268</w:t>
            </w:r>
          </w:p>
        </w:tc>
        <w:tc>
          <w:tcPr>
            <w:tcW w:w="66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1,649</w:t>
            </w:r>
          </w:p>
        </w:tc>
      </w:tr>
      <w:tr>
        <w:trPr>
          <w:trHeight w:val="152"/>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Net Cash</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48"/>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(Used)/Provided by</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92"/>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(1,328)</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(1,499)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(1,113)</w:t>
            </w:r>
          </w:p>
        </w:tc>
        <w:tc>
          <w:tcPr>
            <w:tcW w:w="6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(1,532)</w:t>
            </w:r>
          </w:p>
        </w:tc>
        <w:tc>
          <w:tcPr>
            <w:tcW w:w="6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(2,921)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(847)</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(13,329)</w:t>
            </w:r>
          </w:p>
        </w:tc>
      </w:tr>
      <w:tr>
        <w:trPr>
          <w:trHeight w:val="145"/>
        </w:trPr>
        <w:tc>
          <w:tcPr>
            <w:tcW w:w="170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Cash Flow from Investing</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5"/>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Activities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 of PP&amp;E</w:t>
            </w:r>
          </w:p>
        </w:tc>
        <w:tc>
          <w:tcPr>
            <w:tcW w:w="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45"/>
        </w:trPr>
        <w:tc>
          <w:tcPr>
            <w:tcW w:w="1700" w:type="dxa"/>
            <w:vAlign w:val="bottom"/>
          </w:tcPr>
          <w:p>
            <w:pPr>
              <w:ind w:left="180"/>
              <w:spacing w:after="0" w:line="146" w:lineRule="exact"/>
              <w:rPr>
                <w:sz w:val="20"/>
                <w:szCs w:val="20"/>
                <w:color w:val="auto"/>
              </w:rPr>
            </w:pPr>
            <w:r>
              <w:rPr>
                <w:rFonts w:ascii="Times New Roman" w:cs="Times New Roman" w:eastAsia="Times New Roman" w:hAnsi="Times New Roman"/>
                <w:sz w:val="13"/>
                <w:szCs w:val="13"/>
                <w:b w:val="1"/>
                <w:bCs w:val="1"/>
                <w:color w:val="auto"/>
              </w:rPr>
              <w:t>Net Cash</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170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(Used)/Provided by</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5"/>
        </w:trPr>
        <w:tc>
          <w:tcPr>
            <w:tcW w:w="170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 from Financing</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9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Activities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2"/>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Option Exercises</w:t>
            </w: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30</w:t>
            </w:r>
          </w:p>
        </w:tc>
        <w:tc>
          <w:tcPr>
            <w:tcW w:w="62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124</w:t>
            </w:r>
          </w:p>
        </w:tc>
      </w:tr>
      <w:tr>
        <w:trPr>
          <w:trHeight w:val="19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Warrant Exercises</w:t>
            </w:r>
          </w:p>
        </w:tc>
        <w:tc>
          <w:tcPr>
            <w:tcW w:w="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216</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216</w:t>
            </w:r>
          </w:p>
        </w:tc>
      </w:tr>
      <w:tr>
        <w:trPr>
          <w:trHeight w:val="149"/>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RSA Net Share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Settlements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Pr>
          <w:p>
            <w:pPr>
              <w:spacing w:after="0"/>
              <w:rPr>
                <w:sz w:val="15"/>
                <w:szCs w:val="15"/>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(259)</w:t>
            </w:r>
          </w:p>
        </w:tc>
      </w:tr>
      <w:tr>
        <w:trPr>
          <w:trHeight w:val="152"/>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Net Cash</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49"/>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(Used)/Provided by</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92"/>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(129)</w:t>
            </w:r>
          </w:p>
        </w:tc>
        <w:tc>
          <w:tcPr>
            <w:tcW w:w="62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94</w:t>
            </w:r>
          </w:p>
        </w:tc>
        <w:tc>
          <w:tcPr>
            <w:tcW w:w="6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216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81</w:t>
            </w:r>
          </w:p>
        </w:tc>
      </w:tr>
      <w:tr>
        <w:trPr>
          <w:trHeight w:val="145"/>
        </w:trPr>
        <w:tc>
          <w:tcPr>
            <w:tcW w:w="170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Net Increase/(Decrease) in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5"/>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w:t>
            </w: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(1,457)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(1,283)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(1,113)</w:t>
            </w:r>
          </w:p>
        </w:tc>
        <w:tc>
          <w:tcPr>
            <w:tcW w:w="640" w:type="dxa"/>
            <w:vAlign w:val="bottom"/>
            <w:gridSpan w:val="2"/>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(1,532)</w:t>
            </w:r>
          </w:p>
        </w:tc>
        <w:tc>
          <w:tcPr>
            <w:tcW w:w="620" w:type="dxa"/>
            <w:vAlign w:val="bottom"/>
            <w:gridSpan w:val="2"/>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(2,921)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(1,001)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(847)</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(753)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(839)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(676)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(669)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(13,247)</w:t>
            </w:r>
          </w:p>
        </w:tc>
      </w:tr>
      <w:tr>
        <w:trPr>
          <w:trHeight w:val="19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 Beginning of Period</w:t>
            </w:r>
          </w:p>
        </w:tc>
        <w:tc>
          <w:tcPr>
            <w:tcW w:w="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15,956</w:t>
            </w:r>
          </w:p>
        </w:tc>
        <w:tc>
          <w:tcPr>
            <w:tcW w:w="6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14,499</w:t>
            </w:r>
          </w:p>
        </w:tc>
        <w:tc>
          <w:tcPr>
            <w:tcW w:w="6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14,343</w:t>
            </w:r>
          </w:p>
        </w:tc>
        <w:tc>
          <w:tcPr>
            <w:tcW w:w="6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13,060</w:t>
            </w:r>
          </w:p>
        </w:tc>
        <w:tc>
          <w:tcPr>
            <w:tcW w:w="6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11,947</w:t>
            </w:r>
          </w:p>
        </w:tc>
        <w:tc>
          <w:tcPr>
            <w:tcW w:w="6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10,415</w:t>
            </w:r>
          </w:p>
        </w:tc>
        <w:tc>
          <w:tcPr>
            <w:tcW w:w="5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7,493</w:t>
            </w:r>
          </w:p>
        </w:tc>
        <w:tc>
          <w:tcPr>
            <w:tcW w:w="6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6,493</w:t>
            </w:r>
          </w:p>
        </w:tc>
        <w:tc>
          <w:tcPr>
            <w:tcW w:w="5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5,646</w:t>
            </w:r>
          </w:p>
        </w:tc>
        <w:tc>
          <w:tcPr>
            <w:tcW w:w="5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4,892</w:t>
            </w:r>
          </w:p>
        </w:tc>
        <w:tc>
          <w:tcPr>
            <w:tcW w:w="5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4,053</w:t>
            </w:r>
          </w:p>
        </w:tc>
        <w:tc>
          <w:tcPr>
            <w:tcW w:w="5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3,377</w:t>
            </w:r>
          </w:p>
        </w:tc>
        <w:tc>
          <w:tcPr>
            <w:tcW w:w="6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15,956</w:t>
            </w:r>
          </w:p>
        </w:tc>
      </w:tr>
      <w:tr>
        <w:trPr>
          <w:trHeight w:val="178"/>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 End of Period</w:t>
            </w: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w w:val="99"/>
              </w:rPr>
              <w:t>$14,499</w:t>
            </w:r>
          </w:p>
        </w:tc>
        <w:tc>
          <w:tcPr>
            <w:tcW w:w="6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$14,343</w:t>
            </w:r>
          </w:p>
        </w:tc>
        <w:tc>
          <w:tcPr>
            <w:tcW w:w="620" w:type="dxa"/>
            <w:vAlign w:val="bottom"/>
            <w:gridSpan w:val="2"/>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$13,060</w:t>
            </w:r>
          </w:p>
        </w:tc>
        <w:tc>
          <w:tcPr>
            <w:tcW w:w="620" w:type="dxa"/>
            <w:vAlign w:val="bottom"/>
            <w:gridSpan w:val="2"/>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$11,947</w:t>
            </w:r>
          </w:p>
        </w:tc>
        <w:tc>
          <w:tcPr>
            <w:tcW w:w="640" w:type="dxa"/>
            <w:vAlign w:val="bottom"/>
            <w:gridSpan w:val="2"/>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$10,415</w:t>
            </w:r>
          </w:p>
        </w:tc>
        <w:tc>
          <w:tcPr>
            <w:tcW w:w="620" w:type="dxa"/>
            <w:vAlign w:val="bottom"/>
            <w:gridSpan w:val="2"/>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$ 7,493</w:t>
            </w:r>
          </w:p>
        </w:tc>
        <w:tc>
          <w:tcPr>
            <w:tcW w:w="580" w:type="dxa"/>
            <w:vAlign w:val="bottom"/>
            <w:gridSpan w:val="2"/>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$ 6,493</w:t>
            </w:r>
          </w:p>
        </w:tc>
        <w:tc>
          <w:tcPr>
            <w:tcW w:w="600" w:type="dxa"/>
            <w:vAlign w:val="bottom"/>
            <w:gridSpan w:val="2"/>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$5,646</w:t>
            </w:r>
          </w:p>
        </w:tc>
        <w:tc>
          <w:tcPr>
            <w:tcW w:w="560" w:type="dxa"/>
            <w:vAlign w:val="bottom"/>
            <w:gridSpan w:val="2"/>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$4,892</w:t>
            </w:r>
          </w:p>
        </w:tc>
        <w:tc>
          <w:tcPr>
            <w:tcW w:w="580" w:type="dxa"/>
            <w:vAlign w:val="bottom"/>
            <w:gridSpan w:val="2"/>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$4,053</w:t>
            </w:r>
          </w:p>
        </w:tc>
        <w:tc>
          <w:tcPr>
            <w:tcW w:w="580" w:type="dxa"/>
            <w:vAlign w:val="bottom"/>
            <w:gridSpan w:val="2"/>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$3,377</w:t>
            </w:r>
          </w:p>
        </w:tc>
        <w:tc>
          <w:tcPr>
            <w:tcW w:w="580" w:type="dxa"/>
            <w:vAlign w:val="bottom"/>
            <w:gridSpan w:val="2"/>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$2,708</w:t>
            </w:r>
          </w:p>
        </w:tc>
        <w:tc>
          <w:tcPr>
            <w:tcW w:w="66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  2,708</w:t>
            </w: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39"/>
        <w:spacing w:after="0" w:line="268" w:lineRule="auto"/>
        <w:rPr>
          <w:sz w:val="20"/>
          <w:szCs w:val="20"/>
          <w:color w:val="auto"/>
        </w:rPr>
      </w:pPr>
      <w:r>
        <w:rPr>
          <w:rFonts w:ascii="Times New Roman" w:cs="Times New Roman" w:eastAsia="Times New Roman" w:hAnsi="Times New Roman"/>
          <w:sz w:val="18"/>
          <w:szCs w:val="18"/>
          <w:b w:val="1"/>
          <w:bCs w:val="1"/>
          <w:color w:val="auto"/>
        </w:rPr>
        <w:t>In light of the foregoing factors and the uncertainties inherent in the Company Projections, stockholders are cautioned not to place undue, if any, reliance on the Company Projections or any other forward-looking information included in this section of the Schedule 14D-9.</w:t>
      </w:r>
    </w:p>
    <w:p>
      <w:pPr>
        <w:spacing w:after="0" w:line="171"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Persons/Assets Retained, Employed, Compensated or Used.</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Company retained Wainright, a strategic and financial advisor focused on companies and transactions in the life sciences industry, to render and deliver an opinion as to the fairness, from a financial point of view, of the Offer Price to the holders of the Common Shares (other than the Excluded Shares). The Company paid Wainright a fee of $250,000 upon the delivery of its opinion in connection with the Original Merger Agreement and the Company paid Wainright a fee of $250,000 upon the delivery of its opinion in connection with the Merger Agreement. The Company also agreed to reimburse Wainright for its expenses incurred in connection with the engagement and to indemnify Wainright and its affiliates and their respective officers, directors, employees and agents, against specified liabilities.</w:t>
      </w:r>
    </w:p>
    <w:p>
      <w:pPr>
        <w:spacing w:after="0" w:line="84" w:lineRule="exact"/>
        <w:rPr>
          <w:sz w:val="20"/>
          <w:szCs w:val="20"/>
          <w:color w:val="auto"/>
        </w:rPr>
      </w:pPr>
    </w:p>
    <w:p>
      <w:pPr>
        <w:ind w:left="300" w:right="939"/>
        <w:spacing w:after="0" w:line="282" w:lineRule="auto"/>
        <w:rPr>
          <w:sz w:val="20"/>
          <w:szCs w:val="20"/>
          <w:color w:val="auto"/>
        </w:rPr>
      </w:pPr>
      <w:r>
        <w:rPr>
          <w:rFonts w:ascii="Times New Roman" w:cs="Times New Roman" w:eastAsia="Times New Roman" w:hAnsi="Times New Roman"/>
          <w:sz w:val="18"/>
          <w:szCs w:val="18"/>
          <w:color w:val="auto"/>
        </w:rPr>
        <w:t>Additional information pertaining to the retention of Wainright by the Company in Item 4 under the heading “</w:t>
      </w:r>
      <w:r>
        <w:rPr>
          <w:rFonts w:ascii="Times New Roman" w:cs="Times New Roman" w:eastAsia="Times New Roman" w:hAnsi="Times New Roman"/>
          <w:sz w:val="18"/>
          <w:szCs w:val="18"/>
          <w:i w:val="1"/>
          <w:iCs w:val="1"/>
          <w:color w:val="auto"/>
        </w:rPr>
        <w:t>Opinion of H.C. Wainwright &amp; Co., LLC</w:t>
      </w:r>
      <w:r>
        <w:rPr>
          <w:rFonts w:ascii="Times New Roman" w:cs="Times New Roman" w:eastAsia="Times New Roman" w:hAnsi="Times New Roman"/>
          <w:sz w:val="18"/>
          <w:szCs w:val="18"/>
          <w:color w:val="auto"/>
        </w:rPr>
        <w:t>” is hereby incorporated by reference in this Item 5.</w:t>
      </w:r>
    </w:p>
    <w:p>
      <w:pPr>
        <w:spacing w:after="0" w:line="54"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Except as set forth herein, neither the Company, nor any person acting on its behalf, has employed, retained or agreed to compensate any other person or class of persons to make solicitations or recommendations in connection with the Offer or the Merger, except that such solicitations or recommendations may be made by directors, officers or employees of the Company, for which services no additional compensation will be paid.</w:t>
      </w:r>
    </w:p>
    <w:p>
      <w:pPr>
        <w:spacing w:after="0" w:line="176"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Interest in Securities of the Subject Company.</w:t>
      </w:r>
    </w:p>
    <w:p>
      <w:pPr>
        <w:spacing w:after="0" w:line="121"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Other than (i) the scheduled vesting of Company RSUs and issuances by the Company with respect thereto, (ii) the scheduled vesting of Company Restricted Stock, (iii) the scheduled vesting of Company Stock Options and (iv) the grant of Company Options, Company Restricted Stock and Company RSUs in the ordinary course, no transactions with respect to Common Shares have been effected by the Company or, to the knowledge of the Company after making reasonable inquiry, by any of its executive officers, directors, or affiliates during the sixty (60) days prior to the date of this Schedule 14D-9.</w:t>
      </w:r>
    </w:p>
    <w:p>
      <w:pPr>
        <w:spacing w:after="0" w:line="18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Purposes of the Transaction and Plans or Proposals.</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Except as indicated in this Schedule 14D-9 or as incorporated in this Schedule 14D-9 by reference, (a) the Company is not undertaking or engaged in any negotiations in response to the Offer that relate to, or would result in: (i) a tender offer for or other acquisition of the Company’s securities by the Company, any of its subsidiaries, or any other person; (ii) any extraordinary transaction such as a merger, reorganization or liquidation, involving the Company or any of its subsidiaries; (iii) any purchase, sale or transfer of a material amount of assets of the Company or any of its subsidiaries; or (iv) any material change in the present dividend rates or policy, or indebtedness or capitalization of the Company and (b) there are no transactions, board resolutions, agreements in principle or signed contracts in response to the Offer that relate to, or would result in, one or more of the events referred to in clause (a) of this paragraph.</w:t>
      </w:r>
    </w:p>
    <w:p>
      <w:pPr>
        <w:spacing w:after="0" w:line="80" w:lineRule="exact"/>
        <w:rPr>
          <w:sz w:val="20"/>
          <w:szCs w:val="20"/>
          <w:color w:val="auto"/>
        </w:rPr>
      </w:pPr>
    </w:p>
    <w:p>
      <w:pPr>
        <w:ind w:left="300" w:right="759"/>
        <w:spacing w:after="0" w:line="312" w:lineRule="auto"/>
        <w:rPr>
          <w:sz w:val="20"/>
          <w:szCs w:val="20"/>
          <w:color w:val="auto"/>
        </w:rPr>
      </w:pPr>
      <w:r>
        <w:rPr>
          <w:rFonts w:ascii="Times New Roman" w:cs="Times New Roman" w:eastAsia="Times New Roman" w:hAnsi="Times New Roman"/>
          <w:sz w:val="17"/>
          <w:szCs w:val="17"/>
          <w:color w:val="auto"/>
        </w:rPr>
        <w:t>As described in the Merger Agreement, the Board, in connection with the exercise of its fiduciary duties, is permitted under certain conditions to engage in negotiations in response to an unsolicited acquisition proposal.</w:t>
      </w:r>
    </w:p>
    <w:p>
      <w:pPr>
        <w:spacing w:after="0" w:line="136"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Additional Information.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Golden Parachute Compensation</w:t>
      </w:r>
    </w:p>
    <w:p>
      <w:pPr>
        <w:spacing w:after="0" w:line="119" w:lineRule="exact"/>
        <w:rPr>
          <w:sz w:val="20"/>
          <w:szCs w:val="20"/>
          <w:color w:val="auto"/>
        </w:rPr>
      </w:pPr>
    </w:p>
    <w:p>
      <w:pPr>
        <w:ind w:left="300" w:right="479"/>
        <w:spacing w:after="0" w:line="267" w:lineRule="auto"/>
        <w:rPr>
          <w:sz w:val="20"/>
          <w:szCs w:val="20"/>
          <w:color w:val="auto"/>
        </w:rPr>
      </w:pPr>
      <w:r>
        <w:rPr>
          <w:rFonts w:ascii="Times New Roman" w:cs="Times New Roman" w:eastAsia="Times New Roman" w:hAnsi="Times New Roman"/>
          <w:sz w:val="18"/>
          <w:szCs w:val="18"/>
          <w:color w:val="auto"/>
        </w:rPr>
        <w:t>The information set forth under “</w:t>
      </w:r>
      <w:r>
        <w:rPr>
          <w:rFonts w:ascii="Times New Roman" w:cs="Times New Roman" w:eastAsia="Times New Roman" w:hAnsi="Times New Roman"/>
          <w:sz w:val="18"/>
          <w:szCs w:val="18"/>
          <w:i w:val="1"/>
          <w:iCs w:val="1"/>
          <w:color w:val="auto"/>
        </w:rPr>
        <w:t>Item 3. Past Contacts, Transactions, Negotiations and Agreements-Arrangements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Between the Company and its Executive Officers, Directors and Affiliates-Golden Parachute Compensation</w:t>
      </w:r>
      <w:r>
        <w:rPr>
          <w:rFonts w:ascii="Times New Roman" w:cs="Times New Roman" w:eastAsia="Times New Roman" w:hAnsi="Times New Roman"/>
          <w:sz w:val="18"/>
          <w:szCs w:val="18"/>
          <w:color w:val="auto"/>
        </w:rPr>
        <w: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herein by reference.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Offer</w:t>
      </w:r>
    </w:p>
    <w:p>
      <w:pPr>
        <w:spacing w:after="0" w:line="119" w:lineRule="exact"/>
        <w:rPr>
          <w:sz w:val="20"/>
          <w:szCs w:val="20"/>
          <w:color w:val="auto"/>
        </w:rPr>
      </w:pPr>
    </w:p>
    <w:p>
      <w:pPr>
        <w:ind w:left="300" w:right="819"/>
        <w:spacing w:after="0" w:line="284" w:lineRule="auto"/>
        <w:rPr>
          <w:sz w:val="20"/>
          <w:szCs w:val="20"/>
          <w:color w:val="auto"/>
        </w:rPr>
      </w:pPr>
      <w:r>
        <w:rPr>
          <w:rFonts w:ascii="Times New Roman" w:cs="Times New Roman" w:eastAsia="Times New Roman" w:hAnsi="Times New Roman"/>
          <w:sz w:val="18"/>
          <w:szCs w:val="18"/>
          <w:color w:val="auto"/>
        </w:rPr>
        <w:t>The information set forth in Section 15 of the Offer to Purchase under the caption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 is incorporated herein by reference.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Approval Not Required</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Section 251(h) of the DGCL provides that following consummation of a successful tender offer for a public corporation, and subject to certain statutory provisions, if the acquiror holds at least the amount of shares of each class of stock of the acquired corporation that would otherwise be required to approve a merger of the acquired corporation, and the stockholders that did not tender their shares in the tender offer receive the same consideration for their stock in the merger as was payable in the tender offer, the acquiror can effect a merger without the action of the stockholders of the acquired corporation. Accordingly, if Purchaser consummates the Offer, the Merger Agreement contemplates that the parties will effect the closing of the Merger without a vote of the stockholders of the Company in accordance with Section 251(h) of the DGCL. If the Merger is effected, (i) Company stockholders who do not tender their Common Shares in the Offer will be entitled to appraisal rights under Delaware law, provided that the relevant requirements under the DGCL have been satisfied, and (ii) Company stockholders (other than Purchaser, Parent, the Company and each of their respective wholly owned subsidiaries) who do not validly exercise appraisal rights under Delaware law will receive the same Offer Price for their Common Shares as was payable in the Offer following the consummation of the Merger.</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 xml:space="preserve">Holders of Common Shares will not have appraisal rights in connection with the Offer. However, if Purchaser purchases Common Shares in the Offer, and the Merger is consummated, holders of Shares immediately prior to the Effective Time will be entitled to appraisal rights under Section 262 of the DGCL, provided they comply with the applicable statutory procedures under Section 262. </w:t>
      </w:r>
      <w:r>
        <w:rPr>
          <w:rFonts w:ascii="Times New Roman" w:cs="Times New Roman" w:eastAsia="Times New Roman" w:hAnsi="Times New Roman"/>
          <w:sz w:val="18"/>
          <w:szCs w:val="18"/>
          <w:b w:val="1"/>
          <w:bCs w:val="1"/>
          <w:color w:val="auto"/>
        </w:rPr>
        <w:t>Holders whose Shares are tendered pursuant to the Offer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 be entitled to appraisal rights.</w:t>
      </w:r>
    </w:p>
    <w:p>
      <w:pPr>
        <w:spacing w:after="0" w:line="7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b w:val="1"/>
          <w:bCs w:val="1"/>
          <w:color w:val="auto"/>
        </w:rPr>
        <w:t>The following discussion summarizes appraisal rights of stockholders under the DGCL in connection with the Merger assuming that the Merger is consummated pursuant to Section 251(h) of the DGCL and is qualified in its entirety by the full text of Section 262 of the DGCL, which is attached to this Schedule 14D-9 as Annex II. All references in Section 262 of the DGCL and in this summary to a “stockholder” or “holder” are to the record holder of Shares immediately prior to the Effective Time as to which appraisal rights are demanded. A person having a beneficial interest in Shares held of record in the name of another person, such as a broker or nominee, must act promptly to cause the record holder to follow the steps summarized below properly and in a timely manner to perfect appraisal rights. Stockholders should carefully review the full text of Section 262 of the DGCL as well as the information discussed below.</w:t>
      </w:r>
    </w:p>
    <w:p>
      <w:pPr>
        <w:spacing w:after="0" w:line="84"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Under the DGCL, if the Merger is completed, holders of Shares immediately prior to the Effective Time who (i) did not tender their Shares in the Offer, (ii) follow the procedures set forth in Section 262 of the DGCL and (iii) do not thereafter withdraw their demand for appraisal of such Shares or otherwise lose their appraisal rights, in each case in accordance with the DGCL, will be entitled to have their Shares appraised by the Court of Chancery and to receive payment in cash of the “fair value” of such shares, exclusive of any element of value arising from the accomplishment or expectation of the Merger, together with a rate of interest, if any, as determined by such court on the amount determined to be the fair value (or, in certain circumstances described below, on the difference between the amount determined to be the fair value and the amount paid by the Surviving Corporation to each stockholder entitled to appraisal prior to the entry of judgment in the appraisal proceeding). The “fair value” as so determined by the court could be greater than, less than or the same as the Offer Price.</w:t>
      </w:r>
    </w:p>
    <w:p>
      <w:pPr>
        <w:spacing w:after="0" w:line="86" w:lineRule="exact"/>
        <w:rPr>
          <w:sz w:val="20"/>
          <w:szCs w:val="20"/>
          <w:color w:val="auto"/>
        </w:rPr>
      </w:pPr>
    </w:p>
    <w:p>
      <w:pPr>
        <w:ind w:left="300" w:right="379"/>
        <w:spacing w:after="0" w:line="269" w:lineRule="auto"/>
        <w:rPr>
          <w:sz w:val="20"/>
          <w:szCs w:val="20"/>
          <w:color w:val="auto"/>
        </w:rPr>
      </w:pPr>
      <w:r>
        <w:rPr>
          <w:rFonts w:ascii="Times New Roman" w:cs="Times New Roman" w:eastAsia="Times New Roman" w:hAnsi="Times New Roman"/>
          <w:sz w:val="17"/>
          <w:szCs w:val="17"/>
          <w:color w:val="auto"/>
        </w:rPr>
        <w:t xml:space="preserve">Under Section 262 of the DGCL, where a merger is approved under Section 251(h), either a constituent corporation before the effective date of the merger, or the surviving corporation within ten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Section 262. </w:t>
      </w:r>
      <w:r>
        <w:rPr>
          <w:rFonts w:ascii="Times New Roman" w:cs="Times New Roman" w:eastAsia="Times New Roman" w:hAnsi="Times New Roman"/>
          <w:sz w:val="17"/>
          <w:szCs w:val="17"/>
          <w:b w:val="1"/>
          <w:bCs w:val="1"/>
          <w:color w:val="auto"/>
        </w:rPr>
        <w:t>THE</w:t>
      </w:r>
    </w:p>
    <w:p>
      <w:pPr>
        <w:spacing w:after="0" w:line="3"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BOARD HAS FIXED JUNE 3, 2026 AS THE RECORD DATE FOR DETERMINING THE STOCKHOLDERS AND BENEFICIAL OWNERS ENTITLED TO RECEIVE THIS NOTICE OF APPRAISAL. This Schedule 14D-9 constitutes the formal notice of appraisal rights under Section 262 of the DGCL. </w:t>
      </w:r>
      <w:r>
        <w:rPr>
          <w:rFonts w:ascii="Times New Roman" w:cs="Times New Roman" w:eastAsia="Times New Roman" w:hAnsi="Times New Roman"/>
          <w:sz w:val="18"/>
          <w:szCs w:val="18"/>
          <w:color w:val="auto"/>
        </w:rPr>
        <w:t>Any holder of Shares who wishes to exercise such appraisal rights or who wishes to preserve his, her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do so, should review the following discussion and Annex II carefully because failure to timely and properly comply with the procedures specified will result in the loss of appraisal rights under the DGCL.</w:t>
      </w:r>
    </w:p>
    <w:p>
      <w:pPr>
        <w:spacing w:after="0" w:line="82"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Any stockholder wishing to exercise appraisal rights is urged to consult legal counsel before attempting to exercise such rights.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If a stockholder elects to exercise appraisal rights under Section 262 of the DGCL and the Merger is consummated pursuant to Section 251(h) of the DGCL, such stockholder must do all of the following:</w:t>
      </w:r>
    </w:p>
    <w:p>
      <w:pPr>
        <w:spacing w:after="0" w:line="54" w:lineRule="exact"/>
        <w:rPr>
          <w:sz w:val="20"/>
          <w:szCs w:val="20"/>
          <w:color w:val="auto"/>
        </w:rPr>
      </w:pPr>
    </w:p>
    <w:p>
      <w:pPr>
        <w:ind w:left="1000" w:right="479" w:hanging="348"/>
        <w:spacing w:after="0" w:line="25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later of the consummation of the Offer and twenty (20) business days after the date of mailing of this Schedule 14D-9 (which date of mailing is June 10, 2026), mail or otherwise transmit to the Company at the address indicated below a written demand for appraisal of Shares held, which demand must reasonably inform the Company of the identity of the stockholder and that the stockholder is demanding appraisal;</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tender such stockholder’s Common Shares in the Offer;</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such Shares from the date on which the written demand for appraisal is made through the Effective Time; and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9" w:lineRule="auto"/>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stockholder (or beneficial owner of Shares) who has otherwise perfected his, her or its appraisal rights or the Surviving Corporation must file a petition in the Court of Chancery demanding a determination of the fair value of the stock of all such stockholders within 120 days after the Effective Time.</w:t>
      </w:r>
    </w:p>
    <w:p>
      <w:pPr>
        <w:spacing w:after="0" w:line="50"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Notwithstanding a stockholder’s compliance with the foregoing requirements, the Court of Chancery shall dismiss the appraisal proceedings as to all stockholders who are otherwise entitled to appraisal rights, and such stockholders will effectively lose their appraisal rights, unless (i) the total number of Shares entitled to appraisal rights exceeds 1% of the outstanding Shares eligible for appraisal or (ii) the value of the consideration provided in the Merger for such total number of Shares entitled to appraisal rights exceeds $1 million.</w:t>
      </w:r>
    </w:p>
    <w:p>
      <w:pPr>
        <w:spacing w:after="0" w:line="75"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If the Merger is consummated pursuant to Section 251(h) of the DGCL, Parent will cause the Surviving Corporation to deliver an additional notice of the effective date of the Merger to all stockholders of the Company who delivered a written demand to the Company (in accordance with the first bullet above) within ten (10) days after the closing of the Merger, as required by Section 262(d)(2) of the DGCL. However, only stockholders who have delivered a written demand in accordance with the first bullet above will receive such notice of the effective date.</w:t>
      </w:r>
    </w:p>
    <w:p>
      <w:pPr>
        <w:spacing w:after="0" w:line="75"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If the Merger is consummated pursuant to Section 251(h) of the DGCL, a failure to deliver a written demand for appraisal in accordance with the time periods specified in the first bullet above (or to take any of the other steps specified in the above bullets or summarized below) will be deemed to be a waiver or a termination of your appraisal rights.</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Written Demand by the Record Holder</w:t>
      </w:r>
    </w:p>
    <w:p>
      <w:pPr>
        <w:spacing w:after="0" w:line="119"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All written demands for appraisal should be addressed to Lisata Therapeutics, Inc., P.O. Box 173, Liberty Corner, New Jersey 07938, attention: Corporate Secretary. The written demand for appraisal must be executed by or for the record holder of Shares and must reasonably inform the Company of the identity of the stockholder of record and that such stockholder intends thereby to demand appraisal of his, her or its Shares. If the Shares are owned of record in a fiduciary capacity, such as by a trustee, guardian or custodian, execution of the demand must be made in that capacity, and if the Shares are owned of record by more than one person, such as in a joint tenancy or tenancy in common, the demand must be executed by or for all joint owners. An authorized agent, including one of two or more joint owners, may execute the demand for appraisal for a holder of record. However, the agent must identify the record owner(s) and expressly disclose the fact that, in executing the demand, the agent is acting as agent for the record owner(s).</w:t>
      </w:r>
    </w:p>
    <w:p>
      <w:pPr>
        <w:spacing w:after="0" w:line="86"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A beneficial owner of Shares held in “street name” who wishes to exercise appraisal rights should take such actions as may be necessary to ensure that a timely and proper demand for appraisal is made by the record holder of the Shares. If Shares are held through a brokerage firm, bank or other nominee who in turn holds the Shares through a central securities depository nominee, such as Cede &amp; Co., a demand for appraisal of such Shares must be made by or on behalf of the depository nominee and must identify the depository nominee as the record holder. Any beneficial owner who wishes to exercise appraisal rights and holds Shares through a nominee holder is responsible for ensuring that the demand for appraisal is timely made by the record holder. The beneficial holder of the Shares should instruct the nominee holder that the demand for appraisal should be made by the record holder of the Shares, which may be a central securities depository nominee if the Shares have been so deposited.</w:t>
      </w:r>
    </w:p>
    <w:p>
      <w:pPr>
        <w:spacing w:after="0" w:line="80" w:lineRule="exact"/>
        <w:rPr>
          <w:sz w:val="20"/>
          <w:szCs w:val="20"/>
          <w:color w:val="auto"/>
        </w:rPr>
      </w:pPr>
    </w:p>
    <w:p>
      <w:pPr>
        <w:ind w:left="300" w:right="359"/>
        <w:spacing w:after="0" w:line="289" w:lineRule="auto"/>
        <w:rPr>
          <w:sz w:val="20"/>
          <w:szCs w:val="20"/>
          <w:color w:val="auto"/>
        </w:rPr>
      </w:pPr>
      <w:r>
        <w:rPr>
          <w:rFonts w:ascii="Times New Roman" w:cs="Times New Roman" w:eastAsia="Times New Roman" w:hAnsi="Times New Roman"/>
          <w:sz w:val="17"/>
          <w:szCs w:val="17"/>
          <w:color w:val="auto"/>
        </w:rPr>
        <w:t>A record holder, such as a broker, bank, fiduciary, depository or other nominee, who holds Shares as a nominee for several beneficial owners may exercise appraisal rights with respect to the Shares held for one or more beneficial owners while not exercising such rights with respect to the Shares held for other beneficial owners. In such case,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79"/>
        <w:spacing w:after="0" w:line="282" w:lineRule="auto"/>
        <w:rPr>
          <w:sz w:val="20"/>
          <w:szCs w:val="20"/>
          <w:color w:val="auto"/>
        </w:rPr>
      </w:pPr>
      <w:r>
        <w:rPr>
          <w:rFonts w:ascii="Times New Roman" w:cs="Times New Roman" w:eastAsia="Times New Roman" w:hAnsi="Times New Roman"/>
          <w:sz w:val="18"/>
          <w:szCs w:val="18"/>
          <w:color w:val="auto"/>
        </w:rPr>
        <w:t>written demand must set forth the number of Shares covered by the demand. Where the number of Shares is not expressly stated, the demand will be presumed to cover all Shares held in the name of the record owner.</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Filing a Petition for Appraisal</w:t>
      </w:r>
    </w:p>
    <w:p>
      <w:pPr>
        <w:spacing w:after="0" w:line="11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Within 120 days after the Effective Time, the Surviving Corporation, or any holder of Shares who has complied with Section 262 of the DGCL and is entitled to appraisal rights under Section 262, or the beneficial owner of any such shares, may commence an appraisal proceeding by filing a petition in the Court of Chancery demanding a determination of the fair value of the Shares held by all holders who did not tender their shares in the Offer and who timely and properly demanded appraisal. If no such petition is filed within that 120-day period, appraisal rights will be lost for all holders of Shares who had previously demanded appraisal of their Shares. The Company is under no obligation to and has no present intention to file a petition, and holders should not assume that the Company will file a petition or that it will initiate any negotiations with respect to the fair value of the Shares. Accordingly, it is the obligation of the holders of Shares to initiate all necessary action to perfect their appraisal rights in respect of the Shares within the period prescribed in Section 262 of the DGCL.</w:t>
      </w:r>
    </w:p>
    <w:p>
      <w:pPr>
        <w:spacing w:after="0" w:line="86" w:lineRule="exact"/>
        <w:rPr>
          <w:sz w:val="20"/>
          <w:szCs w:val="20"/>
          <w:color w:val="auto"/>
        </w:rPr>
      </w:pPr>
    </w:p>
    <w:p>
      <w:pPr>
        <w:ind w:left="300" w:right="339"/>
        <w:spacing w:after="0" w:line="269" w:lineRule="auto"/>
        <w:rPr>
          <w:sz w:val="20"/>
          <w:szCs w:val="20"/>
          <w:color w:val="auto"/>
        </w:rPr>
      </w:pPr>
      <w:r>
        <w:rPr>
          <w:rFonts w:ascii="Times New Roman" w:cs="Times New Roman" w:eastAsia="Times New Roman" w:hAnsi="Times New Roman"/>
          <w:sz w:val="17"/>
          <w:szCs w:val="17"/>
          <w:color w:val="auto"/>
        </w:rPr>
        <w:t>Within 120 days after the Effective Time, any holder of Shares who has complied with the requirements for exercise of appraisal rights will be entitled, upon written request, to receive from the Surviving Corporation a statement setting forth the aggregate number of Shares not voted in favor of the Merger and with respect to which demands for appraisal have been received and the aggregate number of holders of such Shares. Such statement must be mailed within ten (10) days after a written request therefor has been received by the Surviving Corporation or within</w:t>
      </w:r>
    </w:p>
    <w:p>
      <w:pPr>
        <w:spacing w:after="0" w:line="3"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ten (10) days after the expiration of the period for delivery of demands for appraisal, whichever is later. Notwithstanding the foregoing requirement that a demand for appraisal must be made by or on behalf of the record owner of the Shares, a person who is the beneficial owner of Shares held either in a voting trust or by a nominee on behalf of such person, and as to which demand has been properly made and not effectively withdrawn, may, in such person’s own name, file a petition for appraisal or request from the Surviving Corporation the statement described in this paragraph.</w:t>
      </w:r>
    </w:p>
    <w:p>
      <w:pPr>
        <w:spacing w:after="0" w:line="82"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Upon the filing of such petition by any such holder of Shares, service of a copy thereof must be made upon the Surviving Corporation, which will then be obligated within twenty (20) days to file with the Delaware Register in Chancery a duly verified list (the “</w:t>
      </w:r>
      <w:r>
        <w:rPr>
          <w:rFonts w:ascii="Times New Roman" w:cs="Times New Roman" w:eastAsia="Times New Roman" w:hAnsi="Times New Roman"/>
          <w:sz w:val="18"/>
          <w:szCs w:val="18"/>
          <w:b w:val="1"/>
          <w:bCs w:val="1"/>
          <w:color w:val="auto"/>
        </w:rPr>
        <w:t>Verified List</w:t>
      </w:r>
      <w:r>
        <w:rPr>
          <w:rFonts w:ascii="Times New Roman" w:cs="Times New Roman" w:eastAsia="Times New Roman" w:hAnsi="Times New Roman"/>
          <w:sz w:val="18"/>
          <w:szCs w:val="18"/>
          <w:color w:val="auto"/>
        </w:rPr>
        <w:t>”) containing the names and addresses of all stockholders who have demanded payment for their Shares and with whom agreements as to the value of their Shares have not been reached. Upon the filing of any such petition, the Court of Chancery may order that notice of the time and place fixed for the hearing on the petition be mailed to the Surviving Corporation and all of the stockholders shown on the Verified List. Such notice will also be published at least one (1) week before the day of the hearing in a newspaper of general circulation published in the City of Wilmington, Delaware, or in another publication determined by the Court of Chancery. The costs of these notices are borne by the Surviving Corporation.</w:t>
      </w:r>
    </w:p>
    <w:p>
      <w:pPr>
        <w:spacing w:after="0" w:line="80"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After notice to the stockholders as required by the Court of Chancery, the Court of Chancery is empowered to conduct a hearing on the petition to determine those stockholders who have complied with Section 262 of the DGCL and who have become entitled to appraisal rights thereunder. The Court of Chancery may require the stockholders who demanded payment for their Shares to submit their stock certificates to the Delaware Register in Chancery for notation thereon of the pendency of the appraisal proceeding and, if any stockholder fails to comply with the direction, the Court of Chancery may dismiss the proceedings as to that stockholder. Notwithstanding a stockholder’s compliance with the requirements of Section 262 of the DGCL, the Court of Chancery shall dismiss the proceedings as to all stockholders who are otherwise entitled to appraisal rights unless (i) the total number of Shares entitled to appraisal rights exceeds 1% of the outstanding Shares eligible for appraisal or (ii) the value of the consideration provided in the Merger for such total number of Shares entitled to appraisal rights exceeds $1 million.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Determination of Fair Value</w:t>
      </w:r>
    </w:p>
    <w:p>
      <w:pPr>
        <w:spacing w:after="0" w:line="119"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After the Court of Chancery determines which stockholders are entitled to appraisal, the appraisal proceeding will be conducted in accordance with the rules of the Court of Chancery, including any rules specifically governing appraisal proceedings. Through such proceeding, the Court of Chancery will determine the fair value of the Shares, exclusive of any element of value arising from the accomplishment or expectation of the Merger, together with interest, if any, to be paid upon the amount determined to be the fair value (or, in certain circumstances described below, on the difference between the amount determined to be the fair value and the amount paid by the Surviving Corporation to each stockholder entitled to appraisal prior to the entry of judgment in the appraisal proceeding).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Unless the Court of Chancery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Notwithstanding the foregoing, at any time before the entry of judgment in the proceedings, the Surviving Corporation may pay to each stockholder entitled to appraisal an amount in cash, in which case interest shall accrue thereafter as provided in the immediately preceding sentence only upon the sum of (i) the difference, if any, between the amount so paid and the fair value of the Shares as determined by the Court, and (ii) interest theretofore accrued, unless paid at that time. The Company, Purchaser and Parent have made no determination as to whether such a payment may be made if the Merger is consummated, and the Company reserves the right to make such a payment upon the consummation of the Merger.</w:t>
      </w:r>
    </w:p>
    <w:p>
      <w:pPr>
        <w:spacing w:after="0" w:line="84" w:lineRule="exact"/>
        <w:rPr>
          <w:sz w:val="20"/>
          <w:szCs w:val="20"/>
          <w:color w:val="auto"/>
        </w:rPr>
      </w:pPr>
    </w:p>
    <w:p>
      <w:pPr>
        <w:ind w:left="300" w:right="339"/>
        <w:spacing w:after="0" w:line="269" w:lineRule="auto"/>
        <w:rPr>
          <w:sz w:val="20"/>
          <w:szCs w:val="20"/>
          <w:color w:val="auto"/>
        </w:rPr>
      </w:pPr>
      <w:r>
        <w:rPr>
          <w:rFonts w:ascii="Times New Roman" w:cs="Times New Roman" w:eastAsia="Times New Roman" w:hAnsi="Times New Roman"/>
          <w:sz w:val="17"/>
          <w:szCs w:val="17"/>
          <w:color w:val="auto"/>
        </w:rPr>
        <w:t xml:space="preserve">In determining fair value, the Court of Chancery will take into account all relevant factors. In </w:t>
      </w:r>
      <w:r>
        <w:rPr>
          <w:rFonts w:ascii="Times New Roman" w:cs="Times New Roman" w:eastAsia="Times New Roman" w:hAnsi="Times New Roman"/>
          <w:sz w:val="17"/>
          <w:szCs w:val="17"/>
          <w:i w:val="1"/>
          <w:iCs w:val="1"/>
          <w:color w:val="auto"/>
        </w:rPr>
        <w:t>Weinberger v. UOP,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w:t>
      </w:r>
      <w:r>
        <w:rPr>
          <w:rFonts w:ascii="Times New Roman" w:cs="Times New Roman" w:eastAsia="Times New Roman" w:hAnsi="Times New Roman"/>
          <w:sz w:val="17"/>
          <w:szCs w:val="17"/>
          <w:color w:val="auto"/>
        </w:rPr>
        <w:t>., the Supreme Court of Delaware discussed the factors that could be considered in determining fair value in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of Chancery must consider market value, asset value, dividends, earnings prospects, the nature of the enterprise and any other facts that could be ascertained as of the date of the merger that throw any light on future prospects of the merged corporation. Section 262 of the DGCL provides that fair value is to be “exclusive of any element of value arising from the accomplishment or expectation of the merger.” In </w:t>
      </w:r>
      <w:r>
        <w:rPr>
          <w:rFonts w:ascii="Times New Roman" w:cs="Times New Roman" w:eastAsia="Times New Roman" w:hAnsi="Times New Roman"/>
          <w:sz w:val="17"/>
          <w:szCs w:val="17"/>
          <w:i w:val="1"/>
          <w:iCs w:val="1"/>
          <w:color w:val="auto"/>
        </w:rPr>
        <w:t>Cede &amp; Co. v. Technicolor, Inc</w:t>
      </w:r>
      <w:r>
        <w:rPr>
          <w:rFonts w:ascii="Times New Roman" w:cs="Times New Roman" w:eastAsia="Times New Roman" w:hAnsi="Times New Roman"/>
          <w:sz w:val="17"/>
          <w:szCs w:val="17"/>
          <w:color w:val="auto"/>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cs="Times New Roman" w:eastAsia="Times New Roman" w:hAnsi="Times New Roman"/>
          <w:sz w:val="17"/>
          <w:szCs w:val="17"/>
          <w:i w:val="1"/>
          <w:iCs w:val="1"/>
          <w:color w:val="auto"/>
        </w:rPr>
        <w:t>Weinberger</w:t>
      </w:r>
      <w:r>
        <w:rPr>
          <w:rFonts w:ascii="Times New Roman" w:cs="Times New Roman" w:eastAsia="Times New Roman" w:hAnsi="Times New Roman"/>
          <w:sz w:val="17"/>
          <w:szCs w:val="17"/>
          <w:color w:val="auto"/>
        </w:rPr>
        <w:t>, the Supreme Court of Delaware also stated that “elements of future value, including the nature of the enterprise, which are known or susceptible of proof as of the date of the merger and not the product of speculation, may be considered.”</w:t>
      </w:r>
    </w:p>
    <w:p>
      <w:pPr>
        <w:spacing w:after="0" w:line="67"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Stockholders considering appraisal should be aware that the fair value of their Shares as so determined could be more than, the same as or less than the Offer Price and that an investment banking opinion as to the fairness, from a financial point of view, of the consideration payable in a sale transaction, such as the Offer and the Merger, is not an opinion as to, and does not otherwise address, “fair value” under Section 262 of the DGCL. Although the Company believes that the Offer Price is fair, no representation is made as to the outcome of the appraisal of fair value as determined by the Court of Chancery, and stockholders should recognize that such an appraisal could result in a determination of a value higher or lower than, or the same as, the Offer Price. Neither Parent nor the Company anticipates offering more than the Offer Price to any stockholder exercising appraisal rights, and they reserve the right to assert, in any appraisal proceeding, that for purposes of Section 262 of the DGCL, the fair value of a Common Share is less than the Offer Price.</w:t>
      </w:r>
    </w:p>
    <w:p>
      <w:pPr>
        <w:spacing w:after="0" w:line="86"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Upon application by the Surviving Corporation or by any holder of Shares entitled to participate in the appraisal proceeding, the Court of Chancery may, in its discretion, proceed to trial upon the appraisal prior to the final determination of the stockholders entitled to an appraisal. Any holder of Shares whose name appears on the Verified List and who has submitted such stockholder’s certificates of stock to the Delaware Register in Chancery, if such is required, may participate fully in all proceedings until it is finally determined that such stockholder is not entitled to appraisal rights. The Court of Chancery will direct the payment of the fair value of the Shares, together with interest, if any, on the amount determined to be the fair value (or, in certain circumstances described herein on the difference between the amount determined to be the fair value and the amount paid by the Surviving Corporation to each stockholder entitled to appraisal prior to the entry of judgment in the appraisal proceeding), by the Surviving Corporation to the stockholders entitled thereto. Payment will be so made to each such stockholder upon the surrender to the Surviving Corporation of such stockholder’s certificates. The Court of Chancery’s decree may be enforced as other decrees in such Court may be enforced.</w:t>
      </w:r>
    </w:p>
    <w:p>
      <w:pPr>
        <w:spacing w:after="0" w:line="82"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If a petition for appraisal is not timely filed, or if both (i) the total number of Shares entitled to appraisal rights does not exceed 1% of the outstanding Shares eligible for appraisal and (ii) the value of the consideration provided in the Merger for such total number of Shares entitled to appraisal rights does not exceed $1 million, then the right to an appraisal will cease. The costs of the action (which do not include attorneys’ fees or the fees and expenses of experts) may be determined by the Court of Chancery and taxed upon the parties as the Court of Chancery deems equitable. Upon application of a stockholder, the Court of Chancery may order all or a portion of the expenses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incurred by a stockholder in connection with an appraisal proceeding, including reasonable attorneys’ fees and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fees and expenses of experts utilized in the appraisal proceeding, to be charged pro rata against the value of all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entitled to appraisal. In the absence of such determination or assessment, each party bears its own expenses.</w:t>
      </w:r>
    </w:p>
    <w:p>
      <w:pPr>
        <w:spacing w:after="0" w:line="99"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Any stockholder who has duly demanded and perfected appraisal rights in compliance with Section 262 of the DGCL will not, after the Effective Time, be entitled to vote his or her Shares for any purpose or be entitled to the payment of dividends or other distributions thereon, except dividends or other distributions payable to holders of record of Shares as of a date prior to the Effective Time.</w:t>
      </w:r>
    </w:p>
    <w:p>
      <w:pPr>
        <w:spacing w:after="0" w:line="72"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If any stockholder who demands appraisal of Shares under Section 262 of the DGCL fails to perfect, successfully withdraws or loses such holder’s right to appraisal, such stockholder’s Shares will be deemed to have been converted at the Effective Time into the right to receive the consideration payable in connection with the Merger (which is equal to the Offer Price, without interest). A stockholder will fail to perfect, or effectively lose, the stockholder’s right to appraisal if no petition for appraisal is filed within 120 days after the Effective Time. Moreover, the Court of Chancery shall dismiss the proceedings as to all stockholders who are otherwise entitled to appraisal rights, and such stockholders will effectively lose their appraisal rights, unless either (i) the total number of Shares entitled to appraisal rights exceeds 1% of the outstanding Shares immediately prior to the Effective Time or</w:t>
      </w:r>
    </w:p>
    <w:p>
      <w:pPr>
        <w:ind w:left="300" w:right="399" w:hanging="8"/>
        <w:spacing w:after="0" w:line="251" w:lineRule="auto"/>
        <w:tabs>
          <w:tab w:leader="none" w:pos="5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consideration provided in the Merger for such total number of Shares entitled to appraisal rights exceeds $1 million. In addition, a stockholder may withdraw his, her or its demand for appraisal in accordance with Section 262 of the DGCL and accept the consideration payable in connection with the Merger by delivering to the Surviving Corporation a written withdrawal of such stockholder’s demand for appraisal and acceptance of the merger either within sixty (60) days after the effective date of the Merger or thereafter with the written approval of the Surviving Corporation. Notwithstanding the foregoing, no appraisal proceeding in the Court of Chancery shall be dismissed as to any stockholder without the approval of the Court, and such approval may be conditioned upon such terms as the Court deems just; provided, however, that the limitation set forth in this sentence shall not affect the right of any stockholder who has not commenced an appraisal proceeding or joined that proceeding as a named party to withdraw such stockholder’s demand for appraisal and to accept the terms offered upon the Merger within sixty (60) days after the effective date of the Merger.</w:t>
      </w:r>
    </w:p>
    <w:p>
      <w:pPr>
        <w:spacing w:after="0" w:line="80" w:lineRule="exact"/>
        <w:rPr>
          <w:sz w:val="20"/>
          <w:szCs w:val="20"/>
          <w:color w:val="auto"/>
        </w:rPr>
      </w:pPr>
    </w:p>
    <w:p>
      <w:pPr>
        <w:ind w:left="300" w:right="459"/>
        <w:spacing w:after="0" w:line="262" w:lineRule="auto"/>
        <w:rPr>
          <w:sz w:val="20"/>
          <w:szCs w:val="20"/>
          <w:color w:val="auto"/>
        </w:rPr>
      </w:pPr>
      <w:r>
        <w:rPr>
          <w:rFonts w:ascii="Times New Roman" w:cs="Times New Roman" w:eastAsia="Times New Roman" w:hAnsi="Times New Roman"/>
          <w:sz w:val="18"/>
          <w:szCs w:val="18"/>
          <w:b w:val="1"/>
          <w:bCs w:val="1"/>
          <w:color w:val="auto"/>
        </w:rPr>
        <w:t>If you wish to exercise your appraisal rights, you must NOT tender your Common Shares in the Offer and must strictly comply with the procedures set forth in Section 262 of the DGCL. If you fail to take any required step in connection with the exercise of appraisal rights, it will result in the termination or waiver of your appraisal rights.</w:t>
      </w:r>
    </w:p>
    <w:p>
      <w:pPr>
        <w:spacing w:after="0" w:line="68" w:lineRule="exact"/>
        <w:rPr>
          <w:sz w:val="20"/>
          <w:szCs w:val="20"/>
          <w:color w:val="auto"/>
        </w:rPr>
      </w:pPr>
    </w:p>
    <w:p>
      <w:pPr>
        <w:ind w:left="300" w:right="339"/>
        <w:spacing w:after="0" w:line="262" w:lineRule="auto"/>
        <w:rPr>
          <w:sz w:val="20"/>
          <w:szCs w:val="20"/>
          <w:color w:val="auto"/>
        </w:rPr>
      </w:pPr>
      <w:r>
        <w:rPr>
          <w:rFonts w:ascii="Times New Roman" w:cs="Times New Roman" w:eastAsia="Times New Roman" w:hAnsi="Times New Roman"/>
          <w:sz w:val="18"/>
          <w:szCs w:val="18"/>
          <w:b w:val="1"/>
          <w:bCs w:val="1"/>
          <w:color w:val="auto"/>
        </w:rPr>
        <w:t>The foregoing summary of the rights of the Company’s stockholders to seek appraisal rights under Delaware law is qualified in its entirety by reference to Section 262 of the DGCL. The proper exercise of appraisal rights requires strict adherence to the applicable provisions of the DGCL. A copy of Section 262 of the DGCL is included as Annex II to this Schedule 14D-9.</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Statutes</w:t>
      </w:r>
    </w:p>
    <w:p>
      <w:pPr>
        <w:spacing w:after="0" w:line="117" w:lineRule="exact"/>
        <w:rPr>
          <w:sz w:val="20"/>
          <w:szCs w:val="20"/>
          <w:color w:val="auto"/>
        </w:rPr>
      </w:pPr>
    </w:p>
    <w:p>
      <w:pPr>
        <w:ind w:left="300" w:right="319"/>
        <w:spacing w:after="0" w:line="267" w:lineRule="auto"/>
        <w:rPr>
          <w:sz w:val="20"/>
          <w:szCs w:val="20"/>
          <w:color w:val="auto"/>
        </w:rPr>
      </w:pPr>
      <w:r>
        <w:rPr>
          <w:rFonts w:ascii="Times New Roman" w:cs="Times New Roman" w:eastAsia="Times New Roman" w:hAnsi="Times New Roman"/>
          <w:sz w:val="17"/>
          <w:szCs w:val="17"/>
          <w:color w:val="auto"/>
        </w:rPr>
        <w:t>As a Delaware corporation, the Company is subject to Section 203 of the DGCL (“</w:t>
      </w:r>
      <w:r>
        <w:rPr>
          <w:rFonts w:ascii="Times New Roman" w:cs="Times New Roman" w:eastAsia="Times New Roman" w:hAnsi="Times New Roman"/>
          <w:sz w:val="17"/>
          <w:szCs w:val="17"/>
          <w:b w:val="1"/>
          <w:bCs w:val="1"/>
          <w:color w:val="auto"/>
        </w:rPr>
        <w:t>Section 203</w:t>
      </w:r>
      <w:r>
        <w:rPr>
          <w:rFonts w:ascii="Times New Roman" w:cs="Times New Roman" w:eastAsia="Times New Roman" w:hAnsi="Times New Roman"/>
          <w:sz w:val="17"/>
          <w:szCs w:val="17"/>
          <w:color w:val="auto"/>
        </w:rPr>
        <w:t>”). In general, Section 203 restricts an “interested stockholder” (in general, a person who owns or has the right to acquire 15% or more of a corporation’s outstanding voting stock) from engaging in a “business combination” (defined to include mergers and certain other actions) with a Delaware corporation for three (3) years following the date such person became an interested stockholder unless: (i) before such person became an interested stockholder, the Board of the corporation approved the transaction in which the interested stockholder became an interested stockholder or approved the business combination; (ii) upon consummation of the transaction which resulted in the interested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w:t>
      </w:r>
    </w:p>
    <w:p>
      <w:pPr>
        <w:spacing w:after="0" w:line="8" w:lineRule="exact"/>
        <w:rPr>
          <w:sz w:val="20"/>
          <w:szCs w:val="20"/>
          <w:color w:val="auto"/>
        </w:rPr>
      </w:pPr>
    </w:p>
    <w:p>
      <w:pPr>
        <w:ind w:left="300" w:right="319" w:hanging="8"/>
        <w:spacing w:after="0" w:line="269" w:lineRule="auto"/>
        <w:tabs>
          <w:tab w:leader="none" w:pos="59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are directors and also officers and (B) employee stock plans in which employee participants do not have the right to determine confidentially whether shares held subject to the plan will be tendered in a tender or exchange offer; or (iii) following the transaction in which such person became an interested stockholder, the business combination is (A) approved by the Board of the corporation and (B) authorized at an annual or special meeting of stockholders, and not by written consent, by the affirmative vote of the holders of at least 66 2/3% of the outstanding voting stock of the corporation not owned by the interested stockholder. In accordance with the provisions of Section 203, the Board has approved the Merger, the Merger Agreement, the Offer and the transactions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contemplated thereby, as described in this Schedule 14D-9, and Parent and Purchaser have represented that neither they nor any of their “affiliates” or “associates” (as defined in Section 203) are or have been an interested stockholder at any time during the past three (3) years. Therefore, the restrictions of Section 203 are inapplicable to the Merger and the transactions contemplated under the Merger Agreement.</w:t>
      </w:r>
    </w:p>
    <w:p>
      <w:pPr>
        <w:spacing w:after="0" w:line="72"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Many other states also have adopted laws and regulations applicable to attempts to acquire securities of corporations that are incorporated or have substantial assets, stockholders, principal executive offices or principal places of business or whose business operations otherwise have substantial economic effects in such states. In the event it is asserted that any such provisions apply to the Offer or the Merger, the Company may be required to take certain actions with respect to such provisions.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Antitrust Compliance</w:t>
      </w:r>
    </w:p>
    <w:p>
      <w:pPr>
        <w:spacing w:after="0" w:line="121" w:lineRule="exact"/>
        <w:rPr>
          <w:sz w:val="20"/>
          <w:szCs w:val="20"/>
          <w:color w:val="auto"/>
        </w:rPr>
      </w:pPr>
    </w:p>
    <w:p>
      <w:pPr>
        <w:jc w:val="both"/>
        <w:ind w:left="300" w:right="499"/>
        <w:spacing w:after="0" w:line="266" w:lineRule="auto"/>
        <w:rPr>
          <w:sz w:val="20"/>
          <w:szCs w:val="20"/>
          <w:color w:val="auto"/>
        </w:rPr>
      </w:pPr>
      <w:r>
        <w:rPr>
          <w:rFonts w:ascii="Times New Roman" w:cs="Times New Roman" w:eastAsia="Times New Roman" w:hAnsi="Times New Roman"/>
          <w:sz w:val="18"/>
          <w:szCs w:val="18"/>
          <w:color w:val="auto"/>
        </w:rPr>
        <w:t>The consummation of the Offer and the Merger are not subject to the reporting and waiting period requirements of the Hart-Scott-Rodino Antitrust Improvements Act of 1976, as amended because the value of the transaction does not exceed the size-of-transaction threshold.</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Annual and Quarterly Reports</w:t>
      </w:r>
    </w:p>
    <w:p>
      <w:pPr>
        <w:spacing w:after="0" w:line="121" w:lineRule="exact"/>
        <w:rPr>
          <w:sz w:val="20"/>
          <w:szCs w:val="20"/>
          <w:color w:val="auto"/>
        </w:rPr>
      </w:pPr>
    </w:p>
    <w:p>
      <w:pPr>
        <w:jc w:val="both"/>
        <w:ind w:left="300" w:right="1079"/>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business and the financial results of the Company, please see the Company’s Annual Report on Form 10-K for the year ended December 31, 2025, Quarterly Report for the three months ended March 31, 2026 and Current Reports on Form 8-K filed with the SEC.</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Litigation</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As of the date of this Schedule 14D-9, the Company is not aware of any material pending legal proceedings relating to the Offer or the Merger. However, lawsuits arising out of or relating to the Offer, the Merger or the Transactions may be filed in the future.</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This Schedule 14D-9 includes forward-looking statements that are subject to risks, uncertainties, and other factors that could cause actual results to differ materially from those expressed or implied by the forward-looking statements, including, without limitation, statements regarding the proposed acquisition of the Company by Parent, the expected timetable for completing the transaction, and the Company’s future financial or operating performance. These forward-looking statements typically can be identified by words such as “believe,” “expect,” “estimate,” “predict,” “target,” “potential,” “likely,” “continue,” “ongoing,” “could,” “should,” “intend,” “may,” “might,” “plan,” “seek,” “anticipate,” “project” and similar expressions, as well as variations or negatives of these words. Forward-looking statements include, without limitation, statements regarding the proposed acquisition of the Company by Parent, similar transactions, prospective performance, future plans, events, expectations, objectives, opportunities, and the outlook for the Company; the expected timing of the completion of the transaction; the ability to complete the transaction considering the various closing conditions; and the accuracy of any assumptions underlying any of the foregoing. Investors are cautioned that any such forward-looking statements are not guarantees of future performance and involve risks and uncertainties; accordingly, investors are cautioned not to place undue reliance on forward-looking statements. Actual results may differ materially due to several factors. Factors that could cause future results to differ materially include: risks associated with the timing of the closing of the proposed transaction, including the risks that a condition to closing would not be satisfied within the expected timeframe or at all, the risk that Parent or Purchaser may not obtain financing for the transaction within the expected timeframe or at all or the risk that the closing of the proposed transaction will not occur; uncertainties as to how many of the Company’s stockholders will tender their shares in the offer; the possibility that competing offers will be made; the occurrence of any event, change, or other circumstance that could give rise to the termination of the Merger Agreement, including circumstances requiring the Parent or the Company to pay a termination fee pursuant to the Merger Agreement and circumstances affecting the ability of such party to make such payment; the outcome of any legal proceedings that may be instituted by or against the parties and others related to the Merger Agreement; unanticipated difficulties or expenditures relating to the proposed transaction; the response of business partners to the announcement of the proposed transaction, and/or potential difficulties in employee retention as a result of the announcement and pendency of the proposed transaction; the possibility that the milestone payment related to the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CVR will never be achieved and that no milestone payment may be made; the risk that any stockholder litigation in connection with the proposed transactions may result in significant costs of defense, indemnification and liability; the Company’s ability to successfully demonstrate the efficacy and safety of its product candidates, and the preclinical or clinical results for its product candidates, which may not support further development of such product candidates; comments, feedback and actions of regulatory agencies; the Company’s dependence on the successful clinical development, regulatory approval and commercialization of its product candidates; the inherent uncertainties associated with developing new products or technologies and operating as clinical stage company; the Company’s cash sufficiency and runway; and other risks identified in the Company’s SEC filings, including the Company’s Annual Report on Form 10-K for the year ended December 31, 2025 and subsequent filings with the SEC. The Company cautions you not to place undue reliance on any forward-looking statements, which speak only as of the date they are made. The forward-looking statements in this document speak only as of the date of this document. The Company undertakes no obligation to update any forward-looking statement, whether as a result of new information, future developments, or otherwise, except as may be required by applicable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86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Item 9.</w:t>
            </w:r>
          </w:p>
        </w:tc>
        <w:tc>
          <w:tcPr>
            <w:tcW w:w="7560" w:type="dxa"/>
            <w:vAlign w:val="bottom"/>
            <w:gridSpan w:val="2"/>
          </w:tcPr>
          <w:p>
            <w:pPr>
              <w:jc w:val="right"/>
              <w:ind w:right="6790"/>
              <w:spacing w:after="0"/>
              <w:rPr>
                <w:sz w:val="20"/>
                <w:szCs w:val="20"/>
                <w:color w:val="auto"/>
              </w:rPr>
            </w:pPr>
            <w:r>
              <w:rPr>
                <w:rFonts w:ascii="Times New Roman" w:cs="Times New Roman" w:eastAsia="Times New Roman" w:hAnsi="Times New Roman"/>
                <w:sz w:val="18"/>
                <w:szCs w:val="18"/>
                <w:b w:val="1"/>
                <w:bCs w:val="1"/>
                <w:i w:val="1"/>
                <w:iCs w:val="1"/>
                <w:color w:val="auto"/>
                <w:w w:val="99"/>
              </w:rPr>
              <w:t>Exhibits.</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4"/>
                <w:szCs w:val="24"/>
                <w:color w:val="auto"/>
              </w:rPr>
            </w:pPr>
          </w:p>
        </w:tc>
        <w:tc>
          <w:tcPr>
            <w:tcW w:w="86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7460" w:type="dxa"/>
            <w:vAlign w:val="bottom"/>
            <w:vMerge w:val="restart"/>
          </w:tcPr>
          <w:p>
            <w:pPr>
              <w:ind w:left="3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86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6"/>
                <w:szCs w:val="16"/>
                <w:color w:val="auto"/>
              </w:rPr>
            </w:pPr>
          </w:p>
        </w:tc>
        <w:tc>
          <w:tcPr>
            <w:tcW w:w="746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86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(a)(1)(A)</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Offer to Purchase, dated June 10, 2026 (incorporated by reference to Exhibit (a)(1)(A) to the Schedule</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60" w:type="dxa"/>
            <w:vAlign w:val="bottom"/>
            <w:gridSpan w:val="7"/>
          </w:tcPr>
          <w:p>
            <w:pPr>
              <w:spacing w:after="0" w:line="189"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(a)(1)(B)</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9"/>
              </w:rPr>
              <w:t>Letter of Transmittal (Including Guidelines for Certification of Taxpayer Identification Number on IRS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Form W-9) (incorporated by reference to Exhibit (a)(1)(B) to the Schedule TO).</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860" w:type="dxa"/>
            <w:vAlign w:val="bottom"/>
            <w:gridSpan w:val="7"/>
            <w:shd w:val="clear" w:color="auto" w:fill="CCEEFF"/>
          </w:tcPr>
          <w:p>
            <w:pPr>
              <w:spacing w:after="0" w:line="195"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(a)(1)(C)</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9"/>
              </w:rPr>
              <w:t>Letter to Brokers, Dealers, Commercial Banks, Trust Companies and Other Nominees (incorporated by</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reference to Exhibit (a)(1)(C) to the Schedule TO).</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60" w:type="dxa"/>
            <w:vAlign w:val="bottom"/>
            <w:gridSpan w:val="7"/>
          </w:tcPr>
          <w:p>
            <w:pPr>
              <w:spacing w:after="0" w:line="189"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(a)(1)(D)</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Letter to Clients for use by Brokers, Dealers, Commercial Banks, Trust Companies and Other</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Nominees (incorporated by reference to Exhibit (a)(1)(D) of the Schedule TO).</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860" w:type="dxa"/>
            <w:vAlign w:val="bottom"/>
            <w:gridSpan w:val="7"/>
            <w:shd w:val="clear" w:color="auto" w:fill="CCEEFF"/>
          </w:tcPr>
          <w:p>
            <w:pPr>
              <w:spacing w:after="0" w:line="195"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(a)(1)(E)</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 of Notice of Guaranteed Delivery (incorporated by reference to Exhibit (a)(1)(E) of the Schedule</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60" w:type="dxa"/>
            <w:vAlign w:val="bottom"/>
            <w:gridSpan w:val="7"/>
          </w:tcPr>
          <w:p>
            <w:pPr>
              <w:spacing w:after="0" w:line="189"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(a)(1)(F)</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Summary Advertisement as published in The New York Times, dated June 10, 2026 (incorporated by</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(a)(1)(F) to the Schedule TO).</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860" w:type="dxa"/>
            <w:vAlign w:val="bottom"/>
            <w:gridSpan w:val="7"/>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rPr>
              <w:t>(a)(5)(A)*</w:t>
            </w:r>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Opinion of H.C. Wainwright &amp; Co., LLC, dated May 29, 2026 (included as Annex I of this Schedule</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14D-9).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60" w:type="dxa"/>
            <w:vAlign w:val="bottom"/>
            <w:gridSpan w:val="7"/>
          </w:tcPr>
          <w:p>
            <w:pPr>
              <w:spacing w:after="0" w:line="189"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(a)(5)(B)</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Press Release Issued by the Company, dated March 6, 2026 (incorporated by reference to Exhibit 99.1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 the Company’s Current Report on Form 8-K filed on March 9, 2026).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740" w:type="dxa"/>
            <w:vAlign w:val="bottom"/>
            <w:tcBorders>
              <w:bottom w:val="single" w:sz="8" w:color="0000EE"/>
            </w:tcBorders>
            <w:gridSpan w:val="6"/>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w w:val="97"/>
              </w:rPr>
              <w:t>(a)(5)(C)*</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Press Release Issued by the Company, dated June 10, 2026.</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60" w:type="dxa"/>
            <w:vAlign w:val="bottom"/>
            <w:gridSpan w:val="7"/>
          </w:tcPr>
          <w:p>
            <w:pPr>
              <w:spacing w:after="0" w:line="189"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(e)(1)(A)</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Agreement and Plan of Merger, dated March 6, 2026, by and among the Company, Parent, and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Purchaser (incorporated by reference to Exhibit 2.1 to the Company’s Current Report on Form 8-K</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filed March 9, 2026).</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860" w:type="dxa"/>
            <w:vAlign w:val="bottom"/>
            <w:gridSpan w:val="7"/>
            <w:shd w:val="clear" w:color="auto" w:fill="CCEEFF"/>
          </w:tcPr>
          <w:p>
            <w:pPr>
              <w:spacing w:after="0" w:line="195"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(e)(1)(B)</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9"/>
              </w:rPr>
              <w:t>Waiver to Agreement and Plan of Merger, dated April 2, 2026, by and among the Company, Parent and</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Purchaser (incorporated by reference to Exhibit 99.1 to the Company's Current Report on Form 8-K</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April 3, 2026).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60" w:type="dxa"/>
            <w:vAlign w:val="bottom"/>
            <w:gridSpan w:val="7"/>
          </w:tcPr>
          <w:p>
            <w:pPr>
              <w:spacing w:after="0" w:line="189"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(e)(1)(C)</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Amendment and Waiver to Agreement and Plan of Merger, dated May 3, 2026, by and among the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Company, Parent and Purchaser (incorporated by reference to Exhibit 2.1 to the Company's Current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May 4, 2026).</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860" w:type="dxa"/>
            <w:vAlign w:val="bottom"/>
            <w:gridSpan w:val="7"/>
            <w:shd w:val="clear" w:color="auto" w:fill="CCEEFF"/>
          </w:tcPr>
          <w:p>
            <w:pPr>
              <w:spacing w:after="0" w:line="195"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(e)(1)(D)</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Amendment to Agreement and Plan of Merger, dated May 29, 2026, by and among the Company,</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and Purchaser (incorporated by reference to Exhibit 2.1 to the Company's Current Report on</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May 29, 2026).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60" w:type="dxa"/>
            <w:vAlign w:val="bottom"/>
            <w:gridSpan w:val="7"/>
          </w:tcPr>
          <w:p>
            <w:pPr>
              <w:spacing w:after="0" w:line="189"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(e)(1)(E)</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Amendment and Waiver to Agreement and Plan of Merger, dated June 8, 2026, by and among the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Company, Parent and Purchaser (incorporated by reference to Exhibit 2.1 to the Company's Current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June 9, 2026).</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00" w:type="dxa"/>
            <w:vAlign w:val="bottom"/>
            <w:tcBorders>
              <w:bottom w:val="single" w:sz="8" w:color="0000EE"/>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w w:val="95"/>
              </w:rPr>
              <w:t>(e)(2)*</w:t>
            </w:r>
          </w:p>
        </w:tc>
        <w:tc>
          <w:tcPr>
            <w:tcW w:w="360" w:type="dxa"/>
            <w:vAlign w:val="bottom"/>
            <w:tcBorders>
              <w:bottom w:val="single" w:sz="8" w:color="CCEEFF"/>
            </w:tcBorders>
            <w:gridSpan w:val="5"/>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Non-Disclosure Letter, dated April 23, 2025, by and between the Company and Kuva Labs, Inc.</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60" w:type="dxa"/>
            <w:vAlign w:val="bottom"/>
            <w:gridSpan w:val="7"/>
          </w:tcPr>
          <w:p>
            <w:pPr>
              <w:spacing w:after="0" w:line="189"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(e)(3)</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Binding Term Sheet, dated January 20, 2026, by and between the Company and Kuva Labs, Inc.</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2.1 to the Company’s Current Report on Form 8-K filed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January 21, 2026)</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860" w:type="dxa"/>
            <w:vAlign w:val="bottom"/>
            <w:gridSpan w:val="7"/>
            <w:shd w:val="clear" w:color="auto" w:fill="CCEEFF"/>
          </w:tcPr>
          <w:p>
            <w:pPr>
              <w:spacing w:after="0" w:line="195"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(e)(4)</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Amendment to Binding Term Sheet, dated February 27, 2026, by and between the Company and Kuva</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Labs, Inc. (incorporated by reference to Exhibit 10.1 to Lisata Therapeutics, Inc.’s Current Report on</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February 27, 2026).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(e)(5)*</w:t>
            </w:r>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Standstill Agreement, dated April 25, 2025, by and between the Company and Kuva Labs, Inc.</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00" w:type="dxa"/>
            <w:vAlign w:val="bottom"/>
          </w:tcPr>
          <w:p>
            <w:pPr>
              <w:spacing w:after="0"/>
              <w:rPr>
                <w:sz w:val="16"/>
                <w:szCs w:val="16"/>
                <w:color w:val="auto"/>
              </w:rPr>
            </w:pPr>
          </w:p>
        </w:tc>
        <w:tc>
          <w:tcPr>
            <w:tcW w:w="860" w:type="dxa"/>
            <w:vAlign w:val="bottom"/>
            <w:gridSpan w:val="7"/>
            <w:shd w:val="clear" w:color="auto" w:fill="CCEEFF"/>
          </w:tcPr>
          <w:p>
            <w:pPr>
              <w:spacing w:after="0" w:line="189"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(e)(6)(1)</w:t>
              </w:r>
            </w:hyperlink>
          </w:p>
        </w:tc>
        <w:tc>
          <w:tcPr>
            <w:tcW w:w="100" w:type="dxa"/>
            <w:vAlign w:val="bottom"/>
            <w:shd w:val="clear" w:color="auto" w:fill="CCEEFF"/>
          </w:tcPr>
          <w:p>
            <w:pPr>
              <w:spacing w:after="0"/>
              <w:rPr>
                <w:sz w:val="16"/>
                <w:szCs w:val="16"/>
                <w:color w:val="auto"/>
              </w:rPr>
            </w:pPr>
          </w:p>
        </w:tc>
        <w:tc>
          <w:tcPr>
            <w:tcW w:w="74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Original Form of Contingent Value Rights Agreement (incorporated by reference to Exhibit 2.2 to the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Current Report on Form 8-K filed March 9, 2026).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60" w:type="dxa"/>
            <w:vAlign w:val="bottom"/>
            <w:gridSpan w:val="7"/>
          </w:tcPr>
          <w:p>
            <w:pPr>
              <w:spacing w:after="0" w:line="189"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(e)(6)(2)</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Current Form of Contingent Value Rights Agreement (incorporated by reference to Exhibit 10.1 to the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Company’s Current Report on Form 8-K filed May 29, 2026).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860" w:type="dxa"/>
            <w:vAlign w:val="bottom"/>
            <w:gridSpan w:val="7"/>
            <w:shd w:val="clear" w:color="auto" w:fill="CCEEFF"/>
          </w:tcPr>
          <w:p>
            <w:pPr>
              <w:spacing w:after="0" w:line="195"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(e)(7)</w:t>
              </w:r>
            </w:hyperlink>
          </w:p>
        </w:tc>
        <w:tc>
          <w:tcPr>
            <w:tcW w:w="10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 of Support Agreement (incorporated by reference to Exhibit 2.3 to the Company’s Current</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on Form 8-K filed March 9, 2026).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60" w:type="dxa"/>
            <w:vAlign w:val="bottom"/>
            <w:gridSpan w:val="7"/>
          </w:tcPr>
          <w:p>
            <w:pPr>
              <w:spacing w:after="0" w:line="189"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(e)(8)</w:t>
              </w:r>
            </w:hyperlink>
          </w:p>
        </w:tc>
        <w:tc>
          <w:tcPr>
            <w:tcW w:w="100" w:type="dxa"/>
            <w:vAlign w:val="bottom"/>
          </w:tcPr>
          <w:p>
            <w:pPr>
              <w:spacing w:after="0"/>
              <w:rPr>
                <w:sz w:val="16"/>
                <w:szCs w:val="16"/>
                <w:color w:val="auto"/>
              </w:rPr>
            </w:pPr>
          </w:p>
        </w:tc>
        <w:tc>
          <w:tcPr>
            <w:tcW w:w="7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Lisata Therapeutics, Inc. Amended and Restated 2009 Equity Compensation Plan (incorporated by</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10.5 to the Company’s Annual Report on Form 10-K for the year ended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2022, filed with the SEC on March 30, 2023).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60" w:type="dxa"/>
            <w:vAlign w:val="bottom"/>
            <w:gridSpan w:val="2"/>
          </w:tcPr>
          <w:p>
            <w:pPr>
              <w:jc w:val="right"/>
              <w:ind w:right="4030"/>
              <w:spacing w:after="0"/>
              <w:rPr>
                <w:sz w:val="20"/>
                <w:szCs w:val="20"/>
                <w:color w:val="auto"/>
              </w:rPr>
            </w:pPr>
            <w:r>
              <w:rPr>
                <w:rFonts w:ascii="Times New Roman" w:cs="Times New Roman" w:eastAsia="Times New Roman" w:hAnsi="Times New Roman"/>
                <w:sz w:val="18"/>
                <w:szCs w:val="18"/>
                <w:color w:val="auto"/>
              </w:rPr>
              <w:t>56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57" w:name="page58"/>
    <w:bookmarkEnd w:id="57"/>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940" w:type="dxa"/>
            <w:vAlign w:val="bottom"/>
          </w:tcPr>
          <w:p>
            <w:pPr>
              <w:jc w:val="center"/>
              <w:ind w:right="20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10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90"/>
        </w:trPr>
        <w:tc>
          <w:tcPr>
            <w:tcW w:w="2940" w:type="dxa"/>
            <w:vAlign w:val="bottom"/>
          </w:tcPr>
          <w:p>
            <w:pPr>
              <w:jc w:val="center"/>
              <w:ind w:right="2008"/>
              <w:spacing w:after="0"/>
              <w:rPr>
                <w:sz w:val="20"/>
                <w:szCs w:val="20"/>
                <w:color w:val="auto"/>
              </w:rPr>
            </w:pPr>
            <w:r>
              <w:rPr>
                <w:rFonts w:ascii="Times New Roman" w:cs="Times New Roman" w:eastAsia="Times New Roman" w:hAnsi="Times New Roman"/>
                <w:sz w:val="14"/>
                <w:szCs w:val="14"/>
                <w:b w:val="1"/>
                <w:bCs w:val="1"/>
                <w:color w:val="auto"/>
              </w:rPr>
              <w:t>No.</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4457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5349240" cy="445770"/>
                    </a:xfrm>
                    <a:prstGeom prst="rect">
                      <a:avLst/>
                    </a:prstGeom>
                    <a:noFill/>
                  </pic:spPr>
                </pic:pic>
              </a:graphicData>
            </a:graphic>
          </wp:anchor>
        </w:drawing>
      </w:r>
    </w:p>
    <w:p>
      <w:pPr>
        <w:spacing w:after="0" w:line="26" w:lineRule="exact"/>
        <w:rPr>
          <w:sz w:val="20"/>
          <w:szCs w:val="20"/>
          <w:color w:val="auto"/>
        </w:rPr>
      </w:pPr>
    </w:p>
    <w:p>
      <w:pPr>
        <w:ind w:left="1260" w:right="719" w:hanging="959"/>
        <w:spacing w:after="0" w:line="260"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(e)(9)</w:t>
      </w:r>
      <w:r>
        <w:rPr>
          <w:sz w:val="20"/>
          <w:szCs w:val="20"/>
          <w:color w:val="auto"/>
        </w:rPr>
        <w:tab/>
      </w:r>
      <w:r>
        <w:rPr>
          <w:rFonts w:ascii="Times New Roman" w:cs="Times New Roman" w:eastAsia="Times New Roman" w:hAnsi="Times New Roman"/>
          <w:sz w:val="18"/>
          <w:szCs w:val="18"/>
          <w:color w:val="auto"/>
        </w:rPr>
        <w:t>Lisata Therapeutics, Inc. 2015 Equity Incentive Compensation Plan, as amended (incorporated by reference to Exhibit 10.4 to the Company’s Annual Report on Form 10-K for the year ended December 31, 2022, filed with the SEC on March 30, 2023).</w:t>
      </w:r>
    </w:p>
    <w:p>
      <w:pPr>
        <w:spacing w:after="0" w:line="2" w:lineRule="exact"/>
        <w:rPr>
          <w:sz w:val="20"/>
          <w:szCs w:val="20"/>
          <w:color w:val="auto"/>
        </w:rPr>
      </w:pPr>
    </w:p>
    <w:p>
      <w:pPr>
        <w:ind w:left="1260" w:right="359" w:hanging="959"/>
        <w:spacing w:after="0" w:line="275"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(e)(10)</w:t>
      </w:r>
      <w:r>
        <w:rPr>
          <w:sz w:val="20"/>
          <w:szCs w:val="20"/>
          <w:color w:val="auto"/>
        </w:rPr>
        <w:tab/>
      </w:r>
      <w:r>
        <w:rPr>
          <w:rFonts w:ascii="Times New Roman" w:cs="Times New Roman" w:eastAsia="Times New Roman" w:hAnsi="Times New Roman"/>
          <w:sz w:val="18"/>
          <w:szCs w:val="18"/>
          <w:color w:val="auto"/>
        </w:rPr>
        <w:t>Cend Therapeutics, Inc. 2016 Equity Incentive Plan, as amended (incorporated by reference to Exhibit 99.1 to the Company’s Registration Statement on Form S-8, filed with the SEC on October 17, 2022).</w:t>
      </w:r>
    </w:p>
    <w:p>
      <w:pPr>
        <w:spacing w:after="0" w:line="201" w:lineRule="exact"/>
        <w:rPr>
          <w:sz w:val="20"/>
          <w:szCs w:val="20"/>
          <w:color w:val="auto"/>
        </w:rPr>
      </w:pPr>
    </w:p>
    <w:p>
      <w:pPr>
        <w:ind w:left="1260" w:right="719" w:hanging="959"/>
        <w:spacing w:after="0" w:line="260"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(e)(11)</w:t>
      </w:r>
      <w:r>
        <w:rPr>
          <w:sz w:val="20"/>
          <w:szCs w:val="20"/>
          <w:color w:val="auto"/>
        </w:rPr>
        <w:tab/>
      </w:r>
      <w:r>
        <w:rPr>
          <w:rFonts w:ascii="Times New Roman" w:cs="Times New Roman" w:eastAsia="Times New Roman" w:hAnsi="Times New Roman"/>
          <w:sz w:val="18"/>
          <w:szCs w:val="18"/>
          <w:color w:val="auto"/>
        </w:rPr>
        <w:t>Lisata Therapeutics, Inc. 2018 Equity Incentive Compensation Plan, as amended (incorporated by reference to Exhibit 10.2 to the Company’s Annual Report on Form 10-K for the year ended December 31, 2024, filed with the SEC on 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-423545</wp:posOffset>
            </wp:positionV>
            <wp:extent cx="5349240" cy="428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5349240" cy="428625"/>
                    </a:xfrm>
                    <a:prstGeom prst="rect">
                      <a:avLst/>
                    </a:prstGeom>
                    <a:noFill/>
                  </pic:spPr>
                </pic:pic>
              </a:graphicData>
            </a:graphic>
          </wp:anchor>
        </w:drawing>
      </w:r>
    </w:p>
    <w:p>
      <w:pPr>
        <w:jc w:val="both"/>
        <w:ind w:left="1260" w:right="339" w:hanging="959"/>
        <w:spacing w:after="0" w:line="260"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(e)(12)</w:t>
      </w:r>
      <w:r>
        <w:rPr>
          <w:sz w:val="20"/>
          <w:szCs w:val="20"/>
          <w:color w:val="auto"/>
        </w:rPr>
        <w:tab/>
      </w:r>
      <w:r>
        <w:rPr>
          <w:rFonts w:ascii="Times New Roman" w:cs="Times New Roman" w:eastAsia="Times New Roman" w:hAnsi="Times New Roman"/>
          <w:sz w:val="18"/>
          <w:szCs w:val="18"/>
          <w:color w:val="auto"/>
        </w:rPr>
        <w:t>Lisata Therapeutics, Inc. 2017 Employee Stock Purchase Plan, as amended (incorporated by reference to Exhibit 10.5 to the Company’s Annual Report on Form 10-K for the year ended December 31, 2024, filed with the SEC on February 27, 2025).</w:t>
      </w:r>
    </w:p>
    <w:p>
      <w:pPr>
        <w:spacing w:after="0" w:line="2" w:lineRule="exact"/>
        <w:rPr>
          <w:sz w:val="20"/>
          <w:szCs w:val="20"/>
          <w:color w:val="auto"/>
        </w:rPr>
      </w:pPr>
    </w:p>
    <w:p>
      <w:pPr>
        <w:ind w:left="1260" w:right="519" w:hanging="959"/>
        <w:spacing w:after="0" w:line="260"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(e)(13)</w:t>
      </w:r>
      <w:r>
        <w:rPr>
          <w:sz w:val="20"/>
          <w:szCs w:val="20"/>
          <w:color w:val="auto"/>
        </w:rPr>
        <w:tab/>
      </w:r>
      <w:r>
        <w:rPr>
          <w:rFonts w:ascii="Times New Roman" w:cs="Times New Roman" w:eastAsia="Times New Roman" w:hAnsi="Times New Roman"/>
          <w:sz w:val="18"/>
          <w:szCs w:val="18"/>
          <w:color w:val="auto"/>
        </w:rPr>
        <w:t>Form of Indemnification Agreement between the Company and each of its directors and officers (incorporated by reference to Exhibit 10.2 to the Company’s Current Report on Form 8-K, filed with the SEC on September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-423545</wp:posOffset>
            </wp:positionV>
            <wp:extent cx="5349240" cy="4286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5349240" cy="428625"/>
                    </a:xfrm>
                    <a:prstGeom prst="rect">
                      <a:avLst/>
                    </a:prstGeom>
                    <a:noFill/>
                  </pic:spPr>
                </pic:pic>
              </a:graphicData>
            </a:graphic>
          </wp:anchor>
        </w:drawing>
      </w:r>
    </w:p>
    <w:p>
      <w:pPr>
        <w:jc w:val="both"/>
        <w:ind w:left="1260" w:right="459" w:hanging="959"/>
        <w:spacing w:after="0" w:line="260"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(e)(14)</w:t>
      </w:r>
      <w:r>
        <w:rPr>
          <w:sz w:val="20"/>
          <w:szCs w:val="20"/>
          <w:color w:val="auto"/>
        </w:rPr>
        <w:tab/>
      </w:r>
      <w:r>
        <w:rPr>
          <w:rFonts w:ascii="Times New Roman" w:cs="Times New Roman" w:eastAsia="Times New Roman" w:hAnsi="Times New Roman"/>
          <w:sz w:val="18"/>
          <w:szCs w:val="18"/>
          <w:color w:val="auto"/>
        </w:rPr>
        <w:t>Second Amended and Restated Employment Agreement, by and between the Company and David J. Mazzo, Ph.D., dated as of June 10, 2025 (incorporated by reference to Exhibit 10.1 to the Company’s Current Report on Form 8-K, filed with the SEC on June 13, 2025).</w:t>
      </w:r>
    </w:p>
    <w:p>
      <w:pPr>
        <w:spacing w:after="0" w:line="2" w:lineRule="exact"/>
        <w:rPr>
          <w:sz w:val="20"/>
          <w:szCs w:val="20"/>
          <w:color w:val="auto"/>
        </w:rPr>
      </w:pPr>
    </w:p>
    <w:p>
      <w:pPr>
        <w:jc w:val="both"/>
        <w:ind w:left="1260" w:right="479" w:hanging="959"/>
        <w:spacing w:after="0" w:line="260"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(e)(15)</w:t>
      </w:r>
      <w:r>
        <w:rPr>
          <w:sz w:val="20"/>
          <w:szCs w:val="20"/>
          <w:color w:val="auto"/>
        </w:rPr>
        <w:tab/>
      </w:r>
      <w:r>
        <w:rPr>
          <w:rFonts w:ascii="Times New Roman" w:cs="Times New Roman" w:eastAsia="Times New Roman" w:hAnsi="Times New Roman"/>
          <w:sz w:val="18"/>
          <w:szCs w:val="18"/>
          <w:color w:val="auto"/>
        </w:rPr>
        <w:t>Amended and Restated Employment Agreement, by and between the Company and Kristen K. Buck, M.D., dated as of June 10, 2025 (incorporated by reference to Exhibit 10.2 to the Company’s Current Report on Form 8-K, filed with the SEC on June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-423545</wp:posOffset>
            </wp:positionV>
            <wp:extent cx="5349240" cy="428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5349240" cy="428625"/>
                    </a:xfrm>
                    <a:prstGeom prst="rect">
                      <a:avLst/>
                    </a:prstGeom>
                    <a:noFill/>
                  </pic:spPr>
                </pic:pic>
              </a:graphicData>
            </a:graphic>
          </wp:anchor>
        </w:drawing>
      </w:r>
    </w:p>
    <w:p>
      <w:pPr>
        <w:ind w:left="1260" w:right="439" w:hanging="959"/>
        <w:spacing w:after="0" w:line="260"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(e)(16)</w:t>
      </w:r>
      <w:r>
        <w:rPr>
          <w:sz w:val="20"/>
          <w:szCs w:val="20"/>
          <w:color w:val="auto"/>
        </w:rPr>
        <w:tab/>
      </w:r>
      <w:r>
        <w:rPr>
          <w:rFonts w:ascii="Times New Roman" w:cs="Times New Roman" w:eastAsia="Times New Roman" w:hAnsi="Times New Roman"/>
          <w:sz w:val="18"/>
          <w:szCs w:val="18"/>
          <w:color w:val="auto"/>
        </w:rPr>
        <w:t>Amended and Restated Separation Benefits Agreement, by and between the Company and James Nisco, dated as of June 10, 2025 (incorporated by reference to Exhibit 10.3 to the Company’s Current Report on Form 8-K, filed with the SEC on June 13, 2025).</w:t>
      </w:r>
    </w:p>
    <w:p>
      <w:pPr>
        <w:spacing w:after="0" w:line="2" w:lineRule="exact"/>
        <w:rPr>
          <w:sz w:val="20"/>
          <w:szCs w:val="20"/>
          <w:color w:val="auto"/>
        </w:rPr>
      </w:pPr>
    </w:p>
    <w:p>
      <w:pPr>
        <w:ind w:left="1260" w:right="619" w:hanging="959"/>
        <w:spacing w:after="0" w:line="312" w:lineRule="auto"/>
        <w:tabs>
          <w:tab w:leader="none" w:pos="1240" w:val="left"/>
        </w:tabs>
        <w:rPr>
          <w:sz w:val="20"/>
          <w:szCs w:val="20"/>
          <w:color w:val="auto"/>
        </w:rPr>
      </w:pPr>
      <w:r>
        <w:rPr>
          <w:rFonts w:ascii="Times New Roman" w:cs="Times New Roman" w:eastAsia="Times New Roman" w:hAnsi="Times New Roman"/>
          <w:sz w:val="17"/>
          <w:szCs w:val="17"/>
          <w:u w:val="single" w:color="auto"/>
          <w:color w:val="0000EE"/>
        </w:rPr>
        <w:t>(e)(17)</w:t>
      </w:r>
      <w:r>
        <w:rPr>
          <w:sz w:val="20"/>
          <w:szCs w:val="20"/>
          <w:color w:val="auto"/>
        </w:rPr>
        <w:tab/>
      </w:r>
      <w:r>
        <w:rPr>
          <w:rFonts w:ascii="Times New Roman" w:cs="Times New Roman" w:eastAsia="Times New Roman" w:hAnsi="Times New Roman"/>
          <w:sz w:val="17"/>
          <w:szCs w:val="17"/>
          <w:color w:val="auto"/>
        </w:rPr>
        <w:t>Definitive Proxy Statement for the 2025 Annual Meeting, filed April 25, 2025 (incorporated by reference to the Company’s Definitive Proxy Statement on Schedule 14A, filed on April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-318770</wp:posOffset>
            </wp:positionV>
            <wp:extent cx="5349240" cy="316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5349240" cy="31686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186055</wp:posOffset>
            </wp:positionV>
            <wp:extent cx="822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8" w:lineRule="exact"/>
        <w:rPr>
          <w:sz w:val="20"/>
          <w:szCs w:val="20"/>
          <w:color w:val="auto"/>
        </w:rPr>
      </w:pPr>
    </w:p>
    <w:p>
      <w:pPr>
        <w:ind w:left="640" w:hanging="348"/>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283"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 Mazzo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34290</wp:posOffset>
            </wp:positionV>
            <wp:extent cx="27432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Name: David J. Mazzo, PhD</w:t>
      </w:r>
    </w:p>
    <w:p>
      <w:pPr>
        <w:spacing w:after="0" w:line="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June 10,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-31115</wp:posOffset>
            </wp:positionV>
            <wp:extent cx="4166235" cy="394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4166235" cy="394335"/>
                    </a:xfrm>
                    <a:prstGeom prst="rect">
                      <a:avLst/>
                    </a:prstGeom>
                    <a:noFill/>
                  </pic:spPr>
                </pic:pic>
              </a:graphicData>
            </a:graphic>
          </wp:anchor>
        </w:drawing>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CONFIDENTIAL</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29, 2026</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Lisata Therapeutics,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110 Allen Road, Second Floor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Basking Ridge, NJ 007920</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understand that Lisata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to enter into an Amendment No. 1</w:t>
      </w:r>
    </w:p>
    <w:p>
      <w:pPr>
        <w:spacing w:after="0" w:line="27"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Merger Agreement with Kuva Labs Inc. (“</w:t>
      </w:r>
      <w:r>
        <w:rPr>
          <w:rFonts w:ascii="Times New Roman" w:cs="Times New Roman" w:eastAsia="Times New Roman" w:hAnsi="Times New Roman"/>
          <w:sz w:val="18"/>
          <w:szCs w:val="18"/>
          <w:u w:val="single" w:color="auto"/>
          <w:color w:val="auto"/>
        </w:rPr>
        <w:t>Kuva</w:t>
      </w:r>
      <w:r>
        <w:rPr>
          <w:rFonts w:ascii="Times New Roman" w:cs="Times New Roman" w:eastAsia="Times New Roman" w:hAnsi="Times New Roman"/>
          <w:sz w:val="18"/>
          <w:szCs w:val="18"/>
          <w:color w:val="auto"/>
        </w:rPr>
        <w:t>”) and the other parties named therein dated March 6, 2026 (the “</w:t>
      </w:r>
      <w:r>
        <w:rPr>
          <w:rFonts w:ascii="Times New Roman" w:cs="Times New Roman" w:eastAsia="Times New Roman" w:hAnsi="Times New Roman"/>
          <w:sz w:val="18"/>
          <w:szCs w:val="18"/>
          <w:u w:val="single" w:color="auto"/>
          <w:color w:val="auto"/>
        </w:rPr>
        <w:t>Original Merger Agreement</w:t>
      </w:r>
      <w:r>
        <w:rPr>
          <w:rFonts w:ascii="Times New Roman" w:cs="Times New Roman" w:eastAsia="Times New Roman" w:hAnsi="Times New Roman"/>
          <w:sz w:val="18"/>
          <w:szCs w:val="18"/>
          <w:color w:val="auto"/>
        </w:rPr>
        <w:t>” and as amended,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the Merger Agreement, Kuva will commence a tender offer (the “</w:t>
      </w:r>
      <w:r>
        <w:rPr>
          <w:rFonts w:ascii="Times New Roman" w:cs="Times New Roman" w:eastAsia="Times New Roman" w:hAnsi="Times New Roman"/>
          <w:sz w:val="18"/>
          <w:szCs w:val="18"/>
          <w:u w:val="single" w:color="auto"/>
          <w:color w:val="auto"/>
        </w:rPr>
        <w:t>Tender Offer</w:t>
      </w:r>
      <w:r>
        <w:rPr>
          <w:rFonts w:ascii="Times New Roman" w:cs="Times New Roman" w:eastAsia="Times New Roman" w:hAnsi="Times New Roman"/>
          <w:sz w:val="18"/>
          <w:szCs w:val="18"/>
          <w:color w:val="auto"/>
        </w:rPr>
        <w:t>”) to purchase all outstanding shares of common stock, par value $0.001 per share, of the Company (such stock,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(other than treasury stock and shares of Company Common Stock held by the Company, any subsidiary of the Company and their affiliates and holders of Rollover Shares (as defined below)) at a price of $4.00 per share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Following the completion of the Tender Offer, (i) Kuva will complete a short-form merger with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Tender Offer,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pursuant to which the holders of Company Common Stock will receive the Offer Price in exchange for their shares of Company Common Stock and (ii) shares of Company Common Stock held by certain shareholders of the Company will be contributed to Kuva in exchange for equity interests in Kuva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In addition to the Offer Price, each share of Company Common Stock tendered in the Tender Offer or exchanged in the Merger, will also be entitled to receive a non-tradeable contingent value right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payable as follows: $1.25 per share of Company Common Stock upon achievement of the First Milestone (as defined in the CVR Agreement to be entered into with Kuva and the rights agent defined therein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and (ii) $1.75 per share of Company Common Stock upon achievement of the Second Milestone (as defined in the CVR Agreement) . At your instruction, we did not consider the value of the CVR in our analysis.</w:t>
      </w:r>
    </w:p>
    <w:p>
      <w:pPr>
        <w:spacing w:after="0" w:line="82"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You have requested our opinion as to whether the Offer Price to be received by the holders of Company Common Stock (other than the Company and its affiliates, and the holders of Rollover Shares) in the Transactions, pursuant to the Merger Agreement, is fair, from a financial point of view, to such holders. Capitalized terms used herein have the respective meanings ascribed thereto in the the Merger Agreement.</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H.C. Wainwright &amp; Co., LLC and its affiliates (collectively, “</w:t>
      </w:r>
      <w:r>
        <w:rPr>
          <w:rFonts w:ascii="Times New Roman" w:cs="Times New Roman" w:eastAsia="Times New Roman" w:hAnsi="Times New Roman"/>
          <w:sz w:val="18"/>
          <w:szCs w:val="18"/>
          <w:u w:val="single" w:color="auto"/>
          <w:color w:val="auto"/>
        </w:rPr>
        <w:t>Wainwright</w:t>
      </w:r>
      <w:r>
        <w:rPr>
          <w:rFonts w:ascii="Times New Roman" w:cs="Times New Roman" w:eastAsia="Times New Roman" w:hAnsi="Times New Roman"/>
          <w:sz w:val="18"/>
          <w:szCs w:val="18"/>
          <w:color w:val="auto"/>
        </w:rPr>
        <w:t>”) are engaged in strategic advisory, underwriting and agency financing, principal investing, sales and trading, research, investment management and other financial and non-financial activities and services for various persons and entities. Wainwright and its employees, and funds or other entities they manage or in which they invest or have other economic interests or with which they co-invest, may (for their own accounts and/or the accounts of their customers) at any time purchase, sell, hold or vote long- or short- positions and investments in securities, derivatives, loans, commodities, currencies, credit default swaps and other financial instruments of the Company, Kuva or their subsidiaries or parents or their affiliates, third parties, and, as applicable, portfolio companies. In the ordinary course of its business, Wainwright may also publish research reports regarding the securities of the Company. Wainwright’s research analysts may hold views, make statements or investment recommendations and/or publish research reports with respect to the Company that differ from the views of its investment banking personnel. Wainwright may in the future provide investment banking or financial services to the Company, Kuva or their subsidiaries or parents or their affiliates on matters that are unrelated to the Transactions for which Wainwright would expect to receive compensation.</w:t>
      </w:r>
    </w:p>
    <w:p>
      <w:pPr>
        <w:spacing w:after="0" w:line="79"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We have been engaged by the Company to render this opinion. We will receive a fee in the amount of $250,000 for the provision of this opinion, which fee is not contingent on the successful completion of the Transactions. The Company has also agreed to reimburse certain of our expenses arising, and indemnify us against certain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123190</wp:posOffset>
            </wp:positionV>
            <wp:extent cx="3300095"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330009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that may arise, out of our engagement. In addition, we have entered into a Strategic Advisory Agreement, as amended, with the Company pursuant to which we received a retainer fee of $250,000 at the execution of the agreement and have the right to receive $100,000 at the closing of the Transactions. In addition, Wainwright has received (i) 250,000, plus expenses, in connection with a fairness opinion delivered to the Company in connection with the execution of the Original Merger Agreement and (ii) $37,589 in cash fees for sales made under the Company’s ATM facility. We have not received compensation from Kuva or their respective affiliates or provided to any such person, any investment banking or financial advisory services within the two year period preceding the date hereof.</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connection with this opinion, we have reviewed, among other things:</w:t>
      </w:r>
    </w:p>
    <w:p>
      <w:pPr>
        <w:spacing w:after="0" w:line="117" w:lineRule="exact"/>
        <w:rPr>
          <w:sz w:val="20"/>
          <w:szCs w:val="20"/>
          <w:color w:val="auto"/>
        </w:rPr>
      </w:pPr>
    </w:p>
    <w:p>
      <w:pPr>
        <w:ind w:left="1000" w:right="619" w:hanging="348"/>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Amendment dated May 28, 2026, which, for purposes of this opinion, we have assumed, with your permission, to be identical in all material respects to the agreement to be executed by the parties thereto with respect to the Transactions;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Merger Agreement;</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information, including, but not limited to, the Company’s recent filings with the Securities and Exchange Commission and the financial statements set forth therein;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published research reports on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discussions with management of the Company relating to their clinical programs;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2026 cash flow forecast prepared by management of the Company; and</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analyses and such other factors as we deemed relevant or appropriate for the purpose of rendering our opinion.</w:t>
      </w:r>
    </w:p>
    <w:p>
      <w:pPr>
        <w:spacing w:after="0" w:line="54"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We have also held discussions with members of senior management of the Company regarding their assessment of the strategic rationale for, and the potential benefits of, the Transactions and the past and current business operations, financial condition and future prospects of the Company; reviewed the reported prices and trading activity for the Company Common Stock; and performed such other studies and analyses, and considered such other factors, as we deemed appropriate, including comparisons of the financial and operating performance of the Company’s business with that of companies with publicly traded equity securities that we deemed relevant and compared the terms of the Transactions to precedent transactions which we deemed relevant.</w:t>
      </w:r>
    </w:p>
    <w:p>
      <w:pPr>
        <w:spacing w:after="0" w:line="8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that the management of the Company prepared reasonably the financial forecasts, estimates and other forward-looking information reviewed by us, based on assumptions reflecting its best currently available estimates and good faith judgments as to the expected future results of operations and financial condition of the Company and the combined company, respectively. At your direction, we have assumed that such forecasts provide a reasonable basis on which to evaluate the business of the Company and the Transactions. We express no view or opinion with respect to such financial forecasts, estimates or forward-looking information or the assumptions or estimates upon which they are based.</w:t>
      </w:r>
    </w:p>
    <w:p>
      <w:pPr>
        <w:spacing w:after="0" w:line="86"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We have not made an independent evaluation, appraisal or regulatory or technical assessment of the assets and liabilities (including any contingent, derivative or other off balance-sheet assets and liabilities) of the Company or Kuva or any of their respective subsidiaries and we have not been furnished with any such evaluation, appraisal or assessment. Without limiting the generality of the foregoing, we have undertaken no independent analysis of any pending or threatened litigation, regulatory action, possible unasserted claims or other contingent liabilities, to which Purchaser, the Company or any of their respective affiliates is a party or may be subject, and at your direction and with your consent, our opinion makes no assumption concerning, and therefore does not consider, the possible assertion of claims, outcomes or damages arising out of any such matters. We have assumed that all governmental, regulatory or other consents and approvals necessary for the consummation of the Transactions, if any, will be obtained without any adverse effect on the Company or Kuva or on the expected benefits of the Transactions in any way meaningful to our analysis. With your consent, we have assumed that the Transactions will be consummated in all material respects on the identical terms set forth in the draft Amendment and the Original Merger Agreement, without the waiver, modification or addition of any term or condition the effect of which would be in any way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meaningful to our analysis. Our opinion does not address the underlying business decision of the Company to engage in the Transactions, or the relative merits of the Transactions as compared to any strategic alternatives that may be available to the Company; nor does it address any legal, regulatory, tax or accounting matters.</w:t>
      </w:r>
    </w:p>
    <w:p>
      <w:pPr>
        <w:spacing w:after="0" w:line="68"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This opinion addresses only the fairness, from a financial point of view, of the Offer Price to be received by the holders of Company Common Stock (other than the Company, Kuva or their subsidiaries or parents or their affiliates and the holders of Rollover Shares), as of the date hereof, pursuant to the draft Amendment and the Original Merger Agreement. We do not express any view on, and our opinion does not address, any other term, portion or aspect of the draft Amendment and the Original Merger Agreement or Transactions, including (i) the form, structure or any other portion, term or aspect of the Transactions, (ii) any term or aspect of any other agreement, understanding, document or instrument contemplated by the draft Amendment and the Original Merger Agreement or entered into or amended in connection with the Transactions or (iii) any determination of the board of directors of the Company as to the use or distribution of the Offer Price following the consummation of the Transactions. We are not expressing any opinion as to the prices at which the Company Common Stock will trade at any time or, as to the potential effects of volatility in the credit, financial and stock markets on the Company, or the Transactions, or as to the impact of the Transactions on Kuva or the Company. Our opinion does not address any actual or potential “interested party” aspects of the Transactions. We express no opinion and make no recommendation as to how any member of the board of directors of the Company, whether any stockholder should tender shares of Company Common Stock in the Tender Offer or how any stockholder of the Company or any other person should vote or act with respect to any manner relating to the Transactions or otherwise. We have not undertaken to reaffirm or revise this opinion or otherwise comment upon any events occurring after the date hereof and do not have any obligation to update, revise or reaffirm this opinion.</w:t>
      </w:r>
    </w:p>
    <w:p>
      <w:pPr>
        <w:spacing w:after="0" w:line="84"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or otherwise considering or commenting on circumstances, developments or events occurring or coming to our attention after the date hereof. Our services and the opinion expressed herein are provided for the information and assistance of the board of directors of the Company in connection with its consideration of the Transactions. This opinion has been approved by a fairness opinion committee of Wainwright.</w:t>
      </w:r>
    </w:p>
    <w:p>
      <w:pPr>
        <w:spacing w:after="0" w:line="81" w:lineRule="exact"/>
        <w:rPr>
          <w:sz w:val="20"/>
          <w:szCs w:val="20"/>
          <w:color w:val="auto"/>
        </w:rPr>
      </w:pPr>
    </w:p>
    <w:p>
      <w:pPr>
        <w:jc w:val="both"/>
        <w:ind w:left="300" w:right="439"/>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Offer Price to be received by the holders of Company Common Stock (other than the Company, Kuva or their subsidiaries or parents or their affiliates and the holders of Rollover Shares) pursuant to the draft Amendment and the Original Merger Agreement is fair, from a financial point of view, to such holders.</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H.C. Wainwright &amp; Co., LLC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262 OF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CORPORATION LAW OF THE STATE OF DELAWARE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640" w:right="299" w:hanging="348"/>
        <w:spacing w:after="0" w:line="252"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spacing w:after="0" w:line="89" w:lineRule="exact"/>
        <w:rPr>
          <w:rFonts w:ascii="Times New Roman" w:cs="Times New Roman" w:eastAsia="Times New Roman" w:hAnsi="Times New Roman"/>
          <w:sz w:val="18"/>
          <w:szCs w:val="18"/>
          <w:color w:val="auto"/>
        </w:rPr>
      </w:pPr>
    </w:p>
    <w:p>
      <w:pPr>
        <w:ind w:left="640" w:right="319" w:hanging="348"/>
        <w:spacing w:after="0" w:line="255"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spacing w:after="0" w:line="80" w:lineRule="exact"/>
        <w:rPr>
          <w:rFonts w:ascii="Times New Roman" w:cs="Times New Roman" w:eastAsia="Times New Roman" w:hAnsi="Times New Roman"/>
          <w:sz w:val="18"/>
          <w:szCs w:val="18"/>
          <w:color w:val="auto"/>
        </w:rPr>
      </w:pPr>
    </w:p>
    <w:p>
      <w:pPr>
        <w:ind w:left="1000" w:right="379" w:hanging="348"/>
        <w:spacing w:after="0" w:line="253" w:lineRule="auto"/>
        <w:tabs>
          <w:tab w:leader="none" w:pos="10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83" w:lineRule="exact"/>
        <w:rPr>
          <w:rFonts w:ascii="Times New Roman" w:cs="Times New Roman" w:eastAsia="Times New Roman" w:hAnsi="Times New Roman"/>
          <w:sz w:val="18"/>
          <w:szCs w:val="18"/>
          <w:color w:val="auto"/>
        </w:rPr>
      </w:pPr>
    </w:p>
    <w:p>
      <w:pPr>
        <w:ind w:left="1000" w:right="479" w:hanging="348"/>
        <w:spacing w:after="0" w:line="256" w:lineRule="auto"/>
        <w:tabs>
          <w:tab w:leader="none" w:pos="10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spacing w:after="0" w:line="79" w:lineRule="exact"/>
        <w:rPr>
          <w:rFonts w:ascii="Times New Roman" w:cs="Times New Roman" w:eastAsia="Times New Roman" w:hAnsi="Times New Roman"/>
          <w:sz w:val="18"/>
          <w:szCs w:val="18"/>
          <w:color w:val="auto"/>
        </w:rPr>
      </w:pPr>
    </w:p>
    <w:p>
      <w:pPr>
        <w:ind w:left="1360" w:right="319" w:hanging="348"/>
        <w:spacing w:after="0" w:line="261" w:lineRule="auto"/>
        <w:tabs>
          <w:tab w:leader="none" w:pos="136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spacing w:after="0" w:line="71" w:lineRule="exact"/>
        <w:rPr>
          <w:rFonts w:ascii="Times New Roman" w:cs="Times New Roman" w:eastAsia="Times New Roman" w:hAnsi="Times New Roman"/>
          <w:sz w:val="18"/>
          <w:szCs w:val="18"/>
          <w:color w:val="auto"/>
        </w:rPr>
      </w:pPr>
    </w:p>
    <w:p>
      <w:pPr>
        <w:ind w:left="1360" w:right="599" w:hanging="348"/>
        <w:spacing w:after="0" w:line="261" w:lineRule="auto"/>
        <w:tabs>
          <w:tab w:leader="none" w:pos="136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right="1099" w:hanging="348"/>
        <w:spacing w:after="0" w:line="282" w:lineRule="auto"/>
        <w:tabs>
          <w:tab w:leader="none" w:pos="1360" w:val="left"/>
        </w:tabs>
        <w:numPr>
          <w:ilvl w:val="4"/>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fractional shares or fractional depository receipts described in the foregoing paragraphs (b)(2)a. and b. of this section; or</w:t>
      </w:r>
    </w:p>
    <w:p>
      <w:pPr>
        <w:spacing w:after="0" w:line="53" w:lineRule="exact"/>
        <w:rPr>
          <w:rFonts w:ascii="Times New Roman" w:cs="Times New Roman" w:eastAsia="Times New Roman" w:hAnsi="Times New Roman"/>
          <w:sz w:val="18"/>
          <w:szCs w:val="18"/>
          <w:color w:val="auto"/>
        </w:rPr>
      </w:pPr>
    </w:p>
    <w:p>
      <w:pPr>
        <w:ind w:left="1360" w:right="399" w:hanging="348"/>
        <w:spacing w:after="0" w:line="282" w:lineRule="auto"/>
        <w:tabs>
          <w:tab w:leader="none" w:pos="1360" w:val="left"/>
        </w:tabs>
        <w:numPr>
          <w:ilvl w:val="4"/>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Delaware corporation party to a merger effected under § 253 or</w:t>
      </w:r>
    </w:p>
    <w:p>
      <w:pPr>
        <w:spacing w:after="0" w:line="27" w:lineRule="exact"/>
        <w:rPr>
          <w:rFonts w:ascii="Times New Roman" w:cs="Times New Roman" w:eastAsia="Times New Roman" w:hAnsi="Times New Roman"/>
          <w:sz w:val="18"/>
          <w:szCs w:val="18"/>
          <w:color w:val="auto"/>
        </w:rPr>
      </w:pPr>
    </w:p>
    <w:p>
      <w:pPr>
        <w:ind w:left="1000" w:right="719" w:firstLine="3"/>
        <w:spacing w:after="0" w:line="260" w:lineRule="auto"/>
        <w:tabs>
          <w:tab w:leader="none" w:pos="1135"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267 of this title is not owned by the parent immediately prior to the merger, appraisal rights shall be available for the shares of the subsidiary Delaware corporation.</w:t>
      </w:r>
    </w:p>
    <w:p>
      <w:pPr>
        <w:spacing w:after="0" w:line="7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w:t>
      </w:r>
    </w:p>
    <w:p>
      <w:pPr>
        <w:spacing w:after="0" w:line="117" w:lineRule="exact"/>
        <w:rPr>
          <w:rFonts w:ascii="Times New Roman" w:cs="Times New Roman" w:eastAsia="Times New Roman" w:hAnsi="Times New Roman"/>
          <w:sz w:val="18"/>
          <w:szCs w:val="18"/>
          <w:color w:val="auto"/>
        </w:rPr>
      </w:pPr>
    </w:p>
    <w:p>
      <w:pPr>
        <w:ind w:left="640" w:right="439" w:hanging="348"/>
        <w:spacing w:after="0" w:line="268" w:lineRule="auto"/>
        <w:tabs>
          <w:tab w:leader="none" w:pos="6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w:t>
      </w:r>
    </w:p>
    <w:p>
      <w:pPr>
        <w:spacing w:after="0" w:line="4" w:lineRule="exact"/>
        <w:rPr>
          <w:rFonts w:ascii="Times New Roman" w:cs="Times New Roman" w:eastAsia="Times New Roman" w:hAnsi="Times New Roman"/>
          <w:sz w:val="17"/>
          <w:szCs w:val="17"/>
          <w:color w:val="auto"/>
        </w:rPr>
      </w:pPr>
    </w:p>
    <w:p>
      <w:pPr>
        <w:ind w:left="900" w:hanging="257"/>
        <w:spacing w:after="0"/>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shall apply as nearly as is practicable.</w:t>
      </w:r>
    </w:p>
    <w:p>
      <w:pPr>
        <w:spacing w:after="0" w:line="98"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9" w:lineRule="auto"/>
        <w:tabs>
          <w:tab w:leader="none" w:pos="1000" w:val="left"/>
        </w:tabs>
        <w:numPr>
          <w:ilvl w:val="2"/>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w:t>
      </w:r>
    </w:p>
    <w:p>
      <w:pPr>
        <w:spacing w:after="0" w:line="2" w:lineRule="exact"/>
        <w:rPr>
          <w:rFonts w:ascii="Times New Roman" w:cs="Times New Roman" w:eastAsia="Times New Roman" w:hAnsi="Times New Roman"/>
          <w:sz w:val="17"/>
          <w:szCs w:val="17"/>
          <w:color w:val="auto"/>
        </w:rPr>
      </w:pPr>
    </w:p>
    <w:p>
      <w:pPr>
        <w:ind w:left="1000" w:right="319"/>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spacing w:after="0" w:line="97"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consolidation, conversion, transfer, domestication or continuance was approved pursuant to</w:t>
      </w:r>
    </w:p>
    <w:p>
      <w:pPr>
        <w:spacing w:after="0" w:line="27" w:lineRule="exact"/>
        <w:rPr>
          <w:rFonts w:ascii="Times New Roman" w:cs="Times New Roman" w:eastAsia="Times New Roman" w:hAnsi="Times New Roman"/>
          <w:sz w:val="18"/>
          <w:szCs w:val="18"/>
          <w:color w:val="auto"/>
        </w:rPr>
      </w:pPr>
    </w:p>
    <w:p>
      <w:pPr>
        <w:ind w:left="1000" w:right="359" w:firstLine="3"/>
        <w:spacing w:after="0" w:line="251" w:lineRule="auto"/>
        <w:tabs>
          <w:tab w:leader="none" w:pos="1135" w:val="left"/>
        </w:tabs>
        <w:numPr>
          <w:ilvl w:val="3"/>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or continuing corporation is a nonstock corporation, a copy of § 114 of this title) or information directing</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stockholders to a publicly available electronic resource at which this section (and § 114 of this title, if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applicable) may be accessed without subscription or cost. Such notice may, and, if given on or after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effective date of the merger, consolidation, conversion, transfer, domestication or continuance, shall, also</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notify such stockholders of the effective date of the merger, consolidation, conversion, transfer,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domestication or continuance. Any stockholder entitled to appraisal rights may, within 20 days after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date of giving such notice or, in the case of a merger approved pursuant to § 251(h) of this title, within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later of the consummation of the offer contemplated by § 251(h) of this title and 20 days after the date of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giving such notice, demand in writing from the surviving, resulting or converted entity the appraisal of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such holder’s shares; provided that a demand may be delivered to such entity by electronic transmission if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directed to an information processing system (if any) expressly designated for that purpose in such notice.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Such demand will be sufficient if it reasonably informs such entity of the identity of the stockholder and</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that the stockholder intends thereby to demand the appraisal of such holder’s shares. If such notice did not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notify stockholders of the effective date of the merger, consolidation, conversion, transfer, domestication</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or continuance, either (i) each such constituent corporation or the converting, transferring, domesticating</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or continuing corporation shall send a second notice before the effective date of the merger, consolidation,</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conversion, transfer, domestication or continuance notifying each of the holders of any class or series of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stock of such constituent, converting, transferring, domesticating or continuing corporation that are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entitled to appraisal rights of the effective date of the merger, consolidation, conversion, transfer,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domestication or continuance or (ii) the surviving, resulting or converted entity shall send such a</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second notice to all such holders on or within 10 days after such effective date; provided, however, that if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such second notice is sent more than 20 days following the sending of the first notice or, in the case of a</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merger approved pursuant to § 251(h) of this title, later than the later of the consummation of the offer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contemplated by § 251(h) of this title and 20 days following the sending of the first notice, such second</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notice need only be sent to each stockholder who is entitled to appraisal rights and who has demanded</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appraisal of such holder’s shares in accordance with this subsection and any beneficial owner who has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demanded appraisal under paragraph (d)(3) of this section. An affidavit of the secretary or assistant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secretary or of the transfer agent of the corporation or entity that is required to give either notice that such</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notice has been given shall, in the absence of fraud, be prima facie evidence of the facts stated therein. For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purposes of determining the stockholders entitled to receive either notice, each constituent corporation or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converting, transferring, domesticating or continuing corporation may fix, in advance, a record date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that shall be not more than 10 days prior to the date the notice is given, provided, that if the notice is given</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on or after the effective date of the merger, consolidation, conversion, transfer, domestication or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continuance, the record date shall be such effective date. If no record date is fixed and the notice is given</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prior to the effective date, the record date shall be the close of business on the day next preceding the day</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on which the notice is given.</w:t>
      </w:r>
    </w:p>
    <w:p>
      <w:pPr>
        <w:spacing w:after="0" w:line="99" w:lineRule="exact"/>
        <w:rPr>
          <w:sz w:val="20"/>
          <w:szCs w:val="20"/>
          <w:color w:val="auto"/>
        </w:rPr>
      </w:pPr>
    </w:p>
    <w:p>
      <w:pPr>
        <w:ind w:left="1000" w:right="319" w:hanging="348"/>
        <w:spacing w:after="0" w:line="269" w:lineRule="auto"/>
        <w:tabs>
          <w:tab w:leader="none" w:pos="1000" w:val="left"/>
        </w:tabs>
        <w:numPr>
          <w:ilvl w:val="2"/>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spacing w:after="0" w:line="73" w:lineRule="exact"/>
        <w:rPr>
          <w:rFonts w:ascii="Times New Roman" w:cs="Times New Roman" w:eastAsia="Times New Roman" w:hAnsi="Times New Roman"/>
          <w:sz w:val="17"/>
          <w:szCs w:val="17"/>
          <w:color w:val="auto"/>
        </w:rPr>
      </w:pPr>
    </w:p>
    <w:p>
      <w:pPr>
        <w:jc w:val="both"/>
        <w:ind w:left="640" w:right="679" w:hanging="348"/>
        <w:spacing w:after="0" w:line="276" w:lineRule="auto"/>
        <w:tabs>
          <w:tab w:leader="none" w:pos="6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120 days after the effective date of the merger, consolidation, conversion, transfer, domestication or continuance, the surviving, resulting or converted entity, or any person who has complied with subsections</w:t>
      </w:r>
    </w:p>
    <w:p>
      <w:pPr>
        <w:ind w:left="640" w:right="299" w:firstLine="3"/>
        <w:spacing w:after="0" w:line="253" w:lineRule="auto"/>
        <w:tabs>
          <w:tab w:leader="none" w:pos="88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68" w:lineRule="auto"/>
        <w:rPr>
          <w:sz w:val="20"/>
          <w:szCs w:val="20"/>
          <w:color w:val="auto"/>
        </w:rPr>
      </w:pPr>
      <w:r>
        <w:rPr>
          <w:rFonts w:ascii="Times New Roman" w:cs="Times New Roman" w:eastAsia="Times New Roman" w:hAnsi="Times New Roman"/>
          <w:sz w:val="17"/>
          <w:szCs w:val="17"/>
          <w:color w:val="auto"/>
        </w:rPr>
        <w:t>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spacing w:after="0" w:line="69" w:lineRule="exact"/>
        <w:rPr>
          <w:sz w:val="20"/>
          <w:szCs w:val="20"/>
          <w:color w:val="auto"/>
        </w:rPr>
      </w:pPr>
    </w:p>
    <w:p>
      <w:pPr>
        <w:ind w:left="640" w:right="339" w:hanging="348"/>
        <w:spacing w:after="0" w:line="253"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spacing w:after="0" w:line="86" w:lineRule="exact"/>
        <w:rPr>
          <w:rFonts w:ascii="Times New Roman" w:cs="Times New Roman" w:eastAsia="Times New Roman" w:hAnsi="Times New Roman"/>
          <w:sz w:val="18"/>
          <w:szCs w:val="18"/>
          <w:color w:val="auto"/>
        </w:rPr>
      </w:pPr>
    </w:p>
    <w:p>
      <w:pPr>
        <w:ind w:left="640" w:right="399" w:hanging="348"/>
        <w:spacing w:after="0" w:line="253"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spacing w:after="0" w:line="79" w:lineRule="exact"/>
        <w:rPr>
          <w:rFonts w:ascii="Times New Roman" w:cs="Times New Roman" w:eastAsia="Times New Roman" w:hAnsi="Times New Roman"/>
          <w:sz w:val="18"/>
          <w:szCs w:val="18"/>
          <w:color w:val="auto"/>
        </w:rPr>
      </w:pPr>
    </w:p>
    <w:p>
      <w:pPr>
        <w:ind w:left="640" w:right="419" w:hanging="348"/>
        <w:spacing w:after="0" w:line="252"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w:t>
      </w:r>
    </w:p>
    <w:p>
      <w:pPr>
        <w:spacing w:after="0" w:line="6" w:lineRule="exact"/>
        <w:rPr>
          <w:rFonts w:ascii="Times New Roman" w:cs="Times New Roman" w:eastAsia="Times New Roman" w:hAnsi="Times New Roman"/>
          <w:sz w:val="18"/>
          <w:szCs w:val="18"/>
          <w:color w:val="auto"/>
        </w:rPr>
      </w:pPr>
    </w:p>
    <w:p>
      <w:pPr>
        <w:ind w:left="640" w:right="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59"/>
        <w:spacing w:after="0" w:line="256" w:lineRule="auto"/>
        <w:rPr>
          <w:sz w:val="20"/>
          <w:szCs w:val="20"/>
          <w:color w:val="auto"/>
        </w:rPr>
      </w:pPr>
      <w:r>
        <w:rPr>
          <w:rFonts w:ascii="Times New Roman" w:cs="Times New Roman" w:eastAsia="Times New Roman" w:hAnsi="Times New Roman"/>
          <w:sz w:val="18"/>
          <w:szCs w:val="18"/>
          <w:color w:val="auto"/>
        </w:rPr>
        <w:t>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spacing w:after="0" w:line="79" w:lineRule="exact"/>
        <w:rPr>
          <w:sz w:val="20"/>
          <w:szCs w:val="20"/>
          <w:color w:val="auto"/>
        </w:rPr>
      </w:pPr>
    </w:p>
    <w:p>
      <w:pPr>
        <w:ind w:left="640" w:right="319" w:hanging="348"/>
        <w:spacing w:after="0" w:line="258"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spacing w:after="0" w:line="75" w:lineRule="exact"/>
        <w:rPr>
          <w:rFonts w:ascii="Times New Roman" w:cs="Times New Roman" w:eastAsia="Times New Roman" w:hAnsi="Times New Roman"/>
          <w:sz w:val="18"/>
          <w:szCs w:val="18"/>
          <w:color w:val="auto"/>
        </w:rPr>
      </w:pPr>
    </w:p>
    <w:p>
      <w:pPr>
        <w:ind w:left="640" w:right="519" w:hanging="348"/>
        <w:spacing w:after="0" w:line="254"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spacing w:after="0" w:line="83" w:lineRule="exact"/>
        <w:rPr>
          <w:rFonts w:ascii="Times New Roman" w:cs="Times New Roman" w:eastAsia="Times New Roman" w:hAnsi="Times New Roman"/>
          <w:sz w:val="18"/>
          <w:szCs w:val="18"/>
          <w:color w:val="auto"/>
        </w:rPr>
      </w:pPr>
    </w:p>
    <w:p>
      <w:pPr>
        <w:ind w:left="640" w:right="339" w:hanging="348"/>
        <w:spacing w:after="0" w:line="252"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spacing w:after="0" w:line="81" w:lineRule="exact"/>
        <w:rPr>
          <w:rFonts w:ascii="Times New Roman" w:cs="Times New Roman" w:eastAsia="Times New Roman" w:hAnsi="Times New Roman"/>
          <w:sz w:val="18"/>
          <w:szCs w:val="18"/>
          <w:color w:val="auto"/>
        </w:rPr>
      </w:pPr>
    </w:p>
    <w:p>
      <w:pPr>
        <w:ind w:left="640" w:right="499" w:hanging="348"/>
        <w:spacing w:after="0" w:line="258"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A-II-5</w:t>
      </w:r>
    </w:p>
    <w:p>
      <w:pPr>
        <w:sectPr>
          <w:pgSz w:w="11900" w:h="16838" w:orient="portrait"/>
          <w:cols w:equalWidth="0" w:num="1">
            <w:col w:w="9019"/>
          </w:cols>
          <w:pgMar w:left="1440" w:top="263" w:right="1440"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(a)(5)(C)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Lisata Therapeutics Announces Commencement of Tender Offer by Kuva Labs Inc.</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Lisata stockholders to receive $4.00 per share in cash at closing, plus one non-tradeable contingent value right, which represents the contractual right to receive two contingent cash payments of up to an aggregate of $3.00 per share, subject to achievement of specified milestones</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The transaction valued Lisata at a significant premium to the historical market price of Lisata common stock prior to the announcement of the proposed transaction and provides potential additional upside if the specified milestones are achieved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Lisata Board of Directors unanimously recommends stockholders to tender their shares</w:t>
      </w:r>
    </w:p>
    <w:p>
      <w:pPr>
        <w:spacing w:after="0" w:line="225" w:lineRule="exact"/>
        <w:rPr>
          <w:sz w:val="20"/>
          <w:szCs w:val="20"/>
          <w:color w:val="auto"/>
        </w:rPr>
      </w:pPr>
    </w:p>
    <w:p>
      <w:pPr>
        <w:jc w:val="center"/>
        <w:ind w:left="340" w:right="100"/>
        <w:spacing w:after="0" w:line="284" w:lineRule="auto"/>
        <w:rPr>
          <w:sz w:val="20"/>
          <w:szCs w:val="20"/>
          <w:color w:val="auto"/>
        </w:rPr>
      </w:pPr>
      <w:r>
        <w:rPr>
          <w:rFonts w:ascii="Times New Roman" w:cs="Times New Roman" w:eastAsia="Times New Roman" w:hAnsi="Times New Roman"/>
          <w:sz w:val="18"/>
          <w:szCs w:val="18"/>
          <w:i w:val="1"/>
          <w:iCs w:val="1"/>
          <w:color w:val="auto"/>
        </w:rPr>
        <w:t>The transaction is expected to close in the third quarter of 2026, subject to the satisfaction of customary closing conditions, including the achievement of the required threshold of shares tendered</w:t>
      </w:r>
    </w:p>
    <w:p>
      <w:pPr>
        <w:spacing w:after="0" w:line="15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LIBERTY CORNER, NJ (June 10, 2026) </w:t>
      </w:r>
      <w:r>
        <w:rPr>
          <w:rFonts w:ascii="Times New Roman" w:cs="Times New Roman" w:eastAsia="Times New Roman" w:hAnsi="Times New Roman"/>
          <w:sz w:val="18"/>
          <w:szCs w:val="18"/>
          <w:color w:val="auto"/>
        </w:rPr>
        <w:t>– Lisata Therapeutics, Inc. (Nasdaq: LSTA) (“Lisata”), a clinical-stage pharmaceutical company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therapies for the treatment of advanced solid tumors and other serious diseases, today announced that Kuva Acquisition Corp. (“Purchaser”), a wholly owned subsidiary of Kuva Labs Inc. (“Kuva”), has commenced the previously announced tender offer to purchase all of the issued and outstanding shares of common stock of Lisata.</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tender offer is being made pursuant to the Agreement and Plan of Merger dated March 6, 2026, among Lisata, Purchaser and Kuva (as it may be amended from time to time, the “Merger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Merger Agreement, Kuva will commence a tender offer to acquire all the issued and outstanding shares of Lisata common stock for:</w:t>
      </w:r>
    </w:p>
    <w:p>
      <w:pPr>
        <w:spacing w:after="0" w:line="225"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per share in cash, paid at the closing of the transaction (the “Closing Amount”).</w:t>
      </w:r>
    </w:p>
    <w:p>
      <w:pPr>
        <w:spacing w:after="0" w:line="225" w:lineRule="exact"/>
        <w:rPr>
          <w:rFonts w:ascii="Times New Roman" w:cs="Times New Roman" w:eastAsia="Times New Roman" w:hAnsi="Times New Roman"/>
          <w:sz w:val="18"/>
          <w:szCs w:val="18"/>
          <w:color w:val="auto"/>
        </w:rPr>
      </w:pPr>
    </w:p>
    <w:p>
      <w:pPr>
        <w:ind w:left="660" w:right="60" w:hanging="328"/>
        <w:spacing w:after="0" w:line="253"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non-tradeable contingent value right (“CVR”), representing a contractual right to receive two contingent cash payments up to an aggregate of $3.00 per CVR subject to achievement of specified milestones. The CVR entitles the holders of record to receive an additional cash payment of $1.25 per share, upon the achievement of, with respect to a Phase 2a, double-blind, placebo-controlled, randomized, proof-of-concept study evaluating LSTA1 when added to standard of care (temozolomide) versus temozolomide and matching LSTA1 placebo in subjects with newly diagnosed Glioblastoma Multiforme (GBM) (Protocol Number: LSTA1-GBM-2A), (i) completion of enrollment of such trial, (ii) the enrollment of at least 90% of the target number of subjects of such trial or (iii) the termination of such trial by its sponsor for any reason (the “First Milestone”) and an additional cash payment of $1.75 per share upon the achievement of with respect to any product candidate referred to as of the date of the merger agreement as certepetide (formerly LSTA1 or CEND-1), the filing or formal acceptance for review by any governmental authority of any New Drug Application for certepetide (formerly LSTA1 or CEND-1) (the “Second Milestone”, and together with the First Milestone, the “Milestones”). Should any of the Milestones not be met, then no additional consideration will be payable to the holders of the CVRs in relation to the applicable Milestone.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The tender offer period will expire one minute after 11:59 p.m., New York City time on July 10, 2026, unless the offer is extended.</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As described in the Schedule TO filed on June 10, 2026 by Kuva and its acquisition subsidiary, as of the commencement of the Offer, Parent and Purchaser do not have committed financing to fund the Offer Price. Parent and Purchaser intend to fund the Offer Price through a combination of debt and/or equity financings, borrowings under credit facilities that Parent will seek to obtain from lenders and/or private issuance of securities, none of which has been committed. If Parent obtains commitment letters for such financing, such commitments would be filed with the Securities and Exchange Commission and would be available in the manner described in the Offer to Purchase. </w:t>
      </w:r>
      <w:r>
        <w:rPr>
          <w:rFonts w:ascii="Times New Roman" w:cs="Times New Roman" w:eastAsia="Times New Roman" w:hAnsi="Times New Roman"/>
          <w:sz w:val="18"/>
          <w:szCs w:val="18"/>
          <w:b w:val="1"/>
          <w:bCs w:val="1"/>
          <w:color w:val="auto"/>
        </w:rPr>
        <w:t>There can be no assurance that such financing will be obtained.</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Lisata has filed a Solicitation/Recommendation Statement with the U.S. Securities and Exchange Commission (“SEC”) on Schedule 14D-9, which includes the unanimous recommendation of Lisata’s Board of Directors that Lisata stockholders tender their shares in the tender offer. The merger agreement does not include a financing condition. Following the successful tender of a majority of Lisata shares, Kuva will also acquire the untendered shares and convertible securities of Lisata through a second-step merger for the same consideration of $4.00 cash per share, plus the CVR. The closing of the transaction is expected to occur in the third quarter of 2026.</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Following completion of the transaction, Lisata will become part of Kuva, a privately held company, and Lisata’s common stock will be delisted from the Nasdaq Capital Market. Lisata will apply to deregister its common stock and cease to be a reporting company under the United States Securities Exchange Act of 1934, as amended.</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Free copies of all offering documents, including the Offer to Purchase and the solicitation/recommendation statement, are available to all stockholders of Lisata by accessing </w:t>
      </w:r>
      <w:r>
        <w:rPr>
          <w:rFonts w:ascii="Times New Roman" w:cs="Times New Roman" w:eastAsia="Times New Roman" w:hAnsi="Times New Roman"/>
          <w:sz w:val="18"/>
          <w:szCs w:val="18"/>
          <w:u w:val="single" w:color="auto"/>
          <w:color w:val="auto"/>
        </w:rPr>
        <w:t>https://ir.lisata.com</w:t>
      </w:r>
      <w:r>
        <w:rPr>
          <w:rFonts w:ascii="Times New Roman" w:cs="Times New Roman" w:eastAsia="Times New Roman" w:hAnsi="Times New Roman"/>
          <w:sz w:val="18"/>
          <w:szCs w:val="18"/>
          <w:color w:val="auto"/>
        </w:rPr>
        <w:t xml:space="preserve"> or by contacting Investor Relations at 908-842-0084. In addition, the tender offer statement and the solicitation/recommendation statement (and all other documents filed with the SEC) will be available at no charge on the SEC’s website: www.sec.gov, upon filing with the SEC.</w:t>
      </w:r>
    </w:p>
    <w:p>
      <w:pPr>
        <w:spacing w:after="0" w:line="18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Before making any decision with respect to the tender offer, investors are urged to read the Offer to Purchase and related documents, as well as the Solicitation/Recommendation Statement, because they contain important information about the tender offer.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Mintz, Levin, Cohn, Ferris, Glovsky &amp; Popeo, P.C. is serving as legal counsel to Lisata and H.C. Wainwright &amp; Co. acted as financial advisor to Lisata.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Reed Smith LLP is acting as legal counsel to Kuva and Purchaser.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Lisata Therapeutics</w:t>
      </w:r>
    </w:p>
    <w:p>
      <w:pPr>
        <w:spacing w:after="0" w:line="229"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7"/>
          <w:szCs w:val="17"/>
          <w:color w:val="auto"/>
        </w:rPr>
        <w:t>Lisata Therapeutics is a clinical-stage pharmaceutical company dedicated to the discovery, development and commercialization of innovative therapies for the treatment of advanced solid tumors and other major diseases. Lisata’s cyclic peptide product candidate, certepetide, is an investigational drug designed to activate a novel uptake pathway that allows co-administered or tethered anti-cancer drugs to selectively target and penetrate solid tumors more effectively. Lisata has established noteworthy partnerships based on its CendR Platform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technology. For a comprehensive overview of certepetide’s mechanism of action, please view our informative short film. For more information on Lisata and to access the short film, please visit www.lisata.com.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About Kuva Labs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Kuva Labs is a preclinical bioscience company developing the proprietary NanoMark™ direct MR imaging platform. Kuva was founded in 2019, after its founders experienced tragic losses in cancer cases which could have been prevented with better tools. Kuva is seeking to transform the way cancer is seen and ultimately treated. This technology enables the selective and unambiguous imaging of solid tumors with the highest contrast and spatial resolution without the use of ionizing radiation. This information speeds both accurate diagnosis and treatment - delivering better and quicker clinical intervention and better overall outcomes. For more information, please visit </w:t>
      </w:r>
      <w:r>
        <w:rPr>
          <w:rFonts w:ascii="Times New Roman" w:cs="Times New Roman" w:eastAsia="Times New Roman" w:hAnsi="Times New Roman"/>
          <w:sz w:val="18"/>
          <w:szCs w:val="18"/>
          <w:u w:val="single" w:color="auto"/>
          <w:color w:val="auto"/>
        </w:rPr>
        <w:t>www.kuvalabs.com.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tender offer referred to in this document commenced on June 10, 2026 with the filing of a Schedule TO by Kuva and its acquisition subsidiary and a Schedule 14D-9 solicitation/recommendation statement by Lisata. This document is for informational purposes only and is neither an offer to purchase nor a solicitation of an offer to sell shares. Both the tender offer statement and the solicitation/recommendation statement on Schedule 14D-9 have been mailed to Lisata’s stockholders.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 TRANSMITTAL AND CERTAIN OTHER OFFER DOCUMENTS) AND THE SOLICITATION/RECOMMENDATION STATEMENT ON SCHEDULE 14D-9 CONTAIN IMPORTANT INFORMATION ABOUT THE PROPOSED ACQUISITION AND THE PARTIES THERETO. INVESTORS AND STOCKHOLDERS OF LISATA ARE URGED TO READ THESE DOCUMENTS CAREFULLY (AND EACH AS IT MAY BE AMENDED OR SUPPLEMENTED FROM TIME TO TIME) BECAUSE THEY CONTAIN IMPORTANT INFORMATION THAT INVESTORS AND STOCKHOLDERS SHOULD CONSIDER BEFORE MAKING ANY DECISION REGARDING TENDERING THEIR SHARES OF COMMON STOCK IN THE OFFER.</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Both the tender offer statement and the solicitation/recommendation statement have been mailed to Lisata’s stockholders free of charge. A free copy of the tender offer statement and the solicitation/recommendation statement are also available to all stockholders of Lisata by accessing https://ir.lisata.com or by contacting Investor Relations at 908-842-0084. In addition, the tender offer statement and the solicitation/recommendation statement (and all other documents filed with the SEC) are available at no charge on the SEC’s website: www.sec.gov, upon filing with the SEC.</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LISATA’S STOCKHOLDERS ARE ADVISED TO READ THE SCHEDULE TO AND THE SCHEDULE 14D-9, AS EACH MAY BE AMENDED OR SUPPLEMENTED FROM TIME TO TIME, AND ANY OTHER RELEVANT DOCUMENTS FILED WITH THE SEC WHEN THEY BECOME AVAILABLE BEFORE THEY MAKE ANY DECISION WITH RESPECT TO THE TENDER OFFER, BECAUSE THEY WILL CONTAIN IMPORTANT INFORMATION ABOUT THE PROPOSED TRANSACTION AND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document includes forward-looking statements that are subject to risks, uncertainties, and other factors that could cause actual results to differ materially from those expressed or implied by the forward-looking statements, including, without limitation, statements regarding the proposed acquisition of Lisata by Kuva, the expected timetable for completing the transaction, and Lisata’s future financial or operating performance. These forward-looking statements typically can be identified by words such as “believe,” “expect,” “estimate,” “predict,” “target,” “potential,” “likely,” “continue,” “ongoing,” “could,” “should,” “intend,” “may,” “might,” “plan,” “seek,” “anticipate,” “project” and similar expressions, as well as variations or negatives of these words. Forward-looking statements include, without limitation, statements regarding the proposed acquisition of Lisata by Kuva, similar transactions, prospective performance, future plans, events, expectations, objectives, opportunities, and the outlook for Lisata; the expected timing of the completion of the transaction; the ability to complete the transaction considering the various closing conditions; and the accuracy of any assumptions underlying any of the foregoing. Investors are cautioned that any such forward-looking statements are not guarantees of future performance and involve risks and uncertainties; accordingly, investors are cautioned not to place undue reliance on forward-looking statements. Actual results may differ materially due to several factors. Factors that could cause future results to differ materially include: risks associated with the timing of the closing of the proposed transaction, including the risks that a condition to closing would not be satisfied within the expected timeframe or at all, the risk that Parent or Purchaser may not obtain financing for the transaction within the expected timeframe or at all or the risk or that the closing of the proposed transaction will not occur; uncertainties as to how many of Lisata’s stockholders will tender their shares in the offer; the possibility that competing offers will be made; the occurrence of any event, change, or other circumstance that could give rise to the termination of the Merger Agreement, including circumstances requiring Kuva or Lisata to pay a termination fee pursuant to the Merger Agreement and circumstances affecting the ability of such party to make such payment; the outcome of any legal proceedings that may be instituted by or against the parties and others related to the Merger Agreement; unanticipated difficulties or expenditures relating to the proposed transaction; the response of business partners to the announcement of the proposed transaction, and/or potential difficulties in employee retention as a result of the announcement and pendency of the proposed transaction; the possibility that the milestones related to the CVR will never be achieved and that no milestone payments may be made; the risk that any stockholder litigation in connection with the proposed transactions may result in significant costs of defense, indemnification and liability; Lisata’s ability to successfully demonstrate the efficacy and safety of its product candidates, and the preclinical or clinical results for its product candidates, which may not support further development of such product candidates; comments, feedback and actions of regulatory agencies; Lisata’s dependence on the successful clinical development, regulatory approval and commercialization of its product candidates; the inherent uncertainties associated with developing new products or technologies and operating as clinical stage company; Lisata’s cash sufficiency and runway; and other risks identified in Lisata’s SEC filings, including Lisata’s Annual Report on Form 10-K for the year ended December 31, 2025 and subsequent filings with the SEC. Lisata cautions you not to place undue reliance on any forward-looking statements, which speak only as of the date they are made. The forward-looking statements in this document speak only as of the date of this document. Lisata undertakes no obligation to update any forward-looking statement, whether as a result of new information, future developments, or otherwise, except as may be required by applicable law.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and 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Lisata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Menditto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and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908-842-0084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jmenditto@lisata.com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604309203v.6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(e)(2)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MUTUAL NONDISCLOSURE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MUTUAL NONDISCLOSURE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effective as of April 23,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between </w:t>
      </w:r>
      <w:r>
        <w:rPr>
          <w:rFonts w:ascii="Times New Roman" w:cs="Times New Roman" w:eastAsia="Times New Roman" w:hAnsi="Times New Roman"/>
          <w:sz w:val="18"/>
          <w:szCs w:val="18"/>
          <w:b w:val="1"/>
          <w:bCs w:val="1"/>
          <w:color w:val="auto"/>
        </w:rPr>
        <w:t xml:space="preserve">LISATA THERAPEUTICS, INC. </w:t>
      </w:r>
      <w:r>
        <w:rPr>
          <w:rFonts w:ascii="Times New Roman" w:cs="Times New Roman" w:eastAsia="Times New Roman" w:hAnsi="Times New Roman"/>
          <w:sz w:val="18"/>
          <w:szCs w:val="18"/>
          <w:color w:val="auto"/>
        </w:rPr>
        <w:t>having offices at 110 Allen Road, 2nd Floor, Basking Ridge, NJ 07920 (together with its subsidiaries and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KUVA LABS</w:t>
      </w:r>
      <w:r>
        <w:rPr>
          <w:rFonts w:ascii="Times New Roman" w:cs="Times New Roman" w:eastAsia="Times New Roman" w:hAnsi="Times New Roman"/>
          <w:sz w:val="18"/>
          <w:szCs w:val="18"/>
          <w:color w:val="auto"/>
        </w:rPr>
        <w:t>, with an address of 1700 Post Oak Blvd, Suite 600, Houston, TX 77056, USA,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Company and Counterparty are each individually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8"/>
        <w:spacing w:after="0" w:line="256" w:lineRule="auto"/>
        <w:tabs>
          <w:tab w:leader="none" w:pos="68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Parties wish to explore a potential business opportunity (the “</w:t>
      </w: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and as part of that process, each Party and their respective representatives may disclose to the other certain confidential, proprietary, technical or business information that the disclosing Party desires the receiving Party treat as confidential. For purposes of this Agreement, “</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shall mean, with respect to any individual, corporation, partnership, limited liability company, association, trust, unincorporated entity, or other legal entity (each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any other Person that directly, or indirectly through one or more intermediaries, controls, is controlled by, or is under common control with such Person. “</w:t>
      </w:r>
      <w:r>
        <w:rPr>
          <w:rFonts w:ascii="Times New Roman" w:cs="Times New Roman" w:eastAsia="Times New Roman" w:hAnsi="Times New Roman"/>
          <w:sz w:val="18"/>
          <w:szCs w:val="18"/>
          <w:b w:val="1"/>
          <w:bCs w:val="1"/>
          <w:color w:val="auto"/>
        </w:rPr>
        <w:t>Contro</w:t>
      </w:r>
      <w:r>
        <w:rPr>
          <w:rFonts w:ascii="Times New Roman" w:cs="Times New Roman" w:eastAsia="Times New Roman" w:hAnsi="Times New Roman"/>
          <w:sz w:val="18"/>
          <w:szCs w:val="18"/>
          <w:color w:val="auto"/>
        </w:rPr>
        <w:t>l” (including, with correlative meanings, “controlled by” and “under common control with”) shall mean possession, directly or indirectly, of the power to direct the management and policies of a Person, whether through the ownership of 50% or more of the voting interests of such Person, through contract, or otherwise.</w:t>
      </w:r>
    </w:p>
    <w:p>
      <w:pPr>
        <w:spacing w:after="0" w:line="182" w:lineRule="exact"/>
        <w:rPr>
          <w:rFonts w:ascii="Times New Roman" w:cs="Times New Roman" w:eastAsia="Times New Roman" w:hAnsi="Times New Roman"/>
          <w:sz w:val="18"/>
          <w:szCs w:val="18"/>
          <w:color w:val="auto"/>
        </w:rPr>
      </w:pPr>
    </w:p>
    <w:p>
      <w:pPr>
        <w:jc w:val="both"/>
        <w:ind w:firstLine="8"/>
        <w:spacing w:after="0" w:line="253" w:lineRule="auto"/>
        <w:tabs>
          <w:tab w:leader="none" w:pos="6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information disclosed on or after the Effective Date by or on behalf of either Party (in such capacity, the “disclosing Party”), its Affiliates, or any of its or their respective Representatives to the other Party (in such capacity, the “receiving Party”) or the receiving Party’s, Affiliates, or any of its or their respective Representatives (defined herein) pursuant to this Agreement, whether in respect of the disclosing Party’s Affiliates, either directly or indirectly, in writing, orally, visually, electronically or any other media or form or by inspection of tangible objects and including, without limitation, investigator’s brochures, clinical study protocols, manufacturing methods, modules, proprietary technologies, computer programs, code, algorithms, research data (published or otherwise), know-how, and any other intellectual property (whether or not patented), formulas, handsets, processes, ideas, analyses, compilations, inventions (whether patentable or not), schematics and other technical, business, marketing, financial and product development plans, forecasts, strategies and information, whether or not so designated upon disclosure. Confidential Information shall include, without limitation, this Agreement and any other document provided by or on behalf of a Party to the other Party or the other Party’s Representatives relating to a potential transaction between the Parties (and the information set forth in any such documents or notes, extracts or other information, prepared by or on behalf of disclosing Party or receiving Party or their respective Representatives, based on or related to any portion of the Confidential Information), the fact that discussions and negotiations are taking place, the status of any such discussions and negotiations, and any due diligence reviews. Information which, if communicated orally or by demonstration, including information obtained by visits or inspections of any of Counterparty’s facilities is Confidential Information, even if not so identified at the time. Confidential Information may also include, subject to the preceding sentence, information that was disclosed to a disclosing Party by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2" w:name="page73"/>
    <w:bookmarkEnd w:id="72"/>
    <w:p>
      <w:pPr>
        <w:ind w:right="140"/>
        <w:spacing w:after="0" w:line="255" w:lineRule="auto"/>
        <w:rPr>
          <w:sz w:val="20"/>
          <w:szCs w:val="20"/>
          <w:color w:val="auto"/>
        </w:rPr>
      </w:pPr>
      <w:r>
        <w:rPr>
          <w:rFonts w:ascii="Times New Roman" w:cs="Times New Roman" w:eastAsia="Times New Roman" w:hAnsi="Times New Roman"/>
          <w:sz w:val="18"/>
          <w:szCs w:val="18"/>
          <w:color w:val="auto"/>
        </w:rPr>
        <w:t>Confidential Information shall not, however, include any information that (i) was publicly known and made generally available in the public domain prior to the time of disclosure by the disclosing Party; (ii) was or becomes publicly known and made generally available after disclosure by the disclosing Party to the receiving Party through no action or inaction of the receiving Party in violation of this Agreement; (iii) is already in the possession of the receiving Party at the time of disclosure by the disclosing Party as shown by the receiving Party’s files and records prior to the time of disclosure; (iv) was or is obtained by the receiving Party on a non-confidential basis from a third party in rightful possession thereof and without a breach of such third party’s obligations of confidentiality; (v) was or is independently developed by or for the receiving Party without reference to the Confidential Information of disclosing Party, as evidenced by receiving Party's written records, however maintained.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receiving Party may disclose the disclosing Party’s Confidential Information to the extent it is required by law or regulation (or compelled by subpoena or order of a competent administrative or governmental authority) to be disclosed by the receiving Party or its Representatives, provided that, to the extent legally permissible, the receiving Party gives (or directs such of its Representatives to give, as the case may be) the disclosing Party prompt written notice of such requirement prior to such disclosure and assistance, at disclosing Party’s cost, in obtaining an order protecting the information from public disclosure. Any such disclosure, however, shall not relieve the receiving Party of its obligations contained herein.</w:t>
      </w:r>
    </w:p>
    <w:p>
      <w:pPr>
        <w:spacing w:after="0" w:line="183" w:lineRule="exact"/>
        <w:rPr>
          <w:sz w:val="20"/>
          <w:szCs w:val="20"/>
          <w:color w:val="auto"/>
        </w:rPr>
      </w:pPr>
    </w:p>
    <w:p>
      <w:pPr>
        <w:jc w:val="both"/>
        <w:ind w:firstLine="8"/>
        <w:spacing w:after="0" w:line="255" w:lineRule="auto"/>
        <w:tabs>
          <w:tab w:leader="none" w:pos="62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Non-use and Non-disclosure</w:t>
      </w:r>
      <w:r>
        <w:rPr>
          <w:rFonts w:ascii="Times New Roman" w:cs="Times New Roman" w:eastAsia="Times New Roman" w:hAnsi="Times New Roman"/>
          <w:sz w:val="18"/>
          <w:szCs w:val="18"/>
          <w:color w:val="auto"/>
        </w:rPr>
        <w:t>. Each Party agrees not to (and to direct its Affiliates, or any of its or their respective Representatives not to), directly or indirectly, use, share or benefit (or allow a third party to benefit) from any Confidential Information of the other Party for any purpose except to evaluate and engage in discussions concerning the Purpose and/or to execute any definitive agreement contemplated by the Purpose. The receiving Party shall not (and shall direct its Affiliates, or any of its or their Representatives not to) reverse engineer, disassemble, or decompile any prototypes, software, samples, or other tangible objects that embody the disclosing Party’s Confidential Information and that are provided to the receiving Party under this Agreement. For the avoidance of doubt, nothing herein shall in any way restrict disclosing Party from disclosing its Confidential Information to any third party or from using its Confidential Information in any manner for any purpose at its sole discretion.</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62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Confidentiality</w:t>
      </w:r>
      <w:r>
        <w:rPr>
          <w:rFonts w:ascii="Times New Roman" w:cs="Times New Roman" w:eastAsia="Times New Roman" w:hAnsi="Times New Roman"/>
          <w:sz w:val="18"/>
          <w:szCs w:val="18"/>
          <w:color w:val="auto"/>
        </w:rPr>
        <w:t>. The Parties agree to restrict disclosure of Confidential Information to only those of its Affiliates, or any of its or their respective directors, officers, employees, agents, professional advisors, investors, attorneys, accountants, or consultants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who (i) have a “need to know” the same for the Purpose, (ii) are directly involved in the use of the Confidential Information for the Purpose and advised of the contents of this Agreement, and (iii) are bound in writing by obligations of confidentiality at least as stringent as set forth herein or are otherwise bound by an obligation of professional responsibility in favor of the receiving Party. Each Party agrees that it shall (and shall direct its Affiliates, or any of its or their respective Representatives to) take reasonable measures to protect the secrecy of and avoid disclosure and unauthorized use of the Confidential Information of the other Party. Without limiting the foregoing, each Party shall take at least those measures that it takes to protect its own Confidential Information of similar nature, but in no event less than a reasonable standard of care. Each Party will be responsible for any unauthorized use or disclosure of Confidential Information, or other breach of the applicable terms of this Agreement, by its Affiliates or any of its or their respective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left="-8" w:right="260" w:firstLine="8"/>
        <w:spacing w:after="0" w:line="282" w:lineRule="auto"/>
        <w:tabs>
          <w:tab w:leader="none" w:pos="62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w:t>
      </w:r>
      <w:r>
        <w:rPr>
          <w:rFonts w:ascii="Times New Roman" w:cs="Times New Roman" w:eastAsia="Times New Roman" w:hAnsi="Times New Roman"/>
          <w:sz w:val="18"/>
          <w:szCs w:val="18"/>
          <w:color w:val="auto"/>
        </w:rPr>
        <w:t>. Nothing herein shall obligate either Party to proceed with any business relationship or transaction between them, and each Party reserves the right, in its sole discretion, to terminate the discussions contemplated by this Agreement.</w:t>
      </w:r>
    </w:p>
    <w:p>
      <w:pPr>
        <w:spacing w:after="0" w:line="377"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7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Warranty</w:t>
      </w:r>
      <w:r>
        <w:rPr>
          <w:rFonts w:ascii="Times New Roman" w:cs="Times New Roman" w:eastAsia="Times New Roman" w:hAnsi="Times New Roman"/>
          <w:sz w:val="18"/>
          <w:szCs w:val="18"/>
          <w:color w:val="auto"/>
        </w:rPr>
        <w:t>. ALL CONFIDENTIAL INFORMATION IS PROVIDED “AS IS.” EACH PARTY MAKES NO REPRESENTATIONS OR WARRANTIES, EXPRESS, IMPLIED OR OTHERWISE, REGARDING ITS ACCURACY, COMPLETENESS OR PERFORMANCE. THE DISCLOSING PARTY SHALL HAVE NO LIABILITY TO THE RECEIVING PARTY IN CONNECTION WITH RECEIVING PARTY’S USE OF DISCLOSING PARTY’S CONFIDENTIAL INFORMATION.</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or Destruction of Materials</w:t>
      </w:r>
      <w:r>
        <w:rPr>
          <w:rFonts w:ascii="Times New Roman" w:cs="Times New Roman" w:eastAsia="Times New Roman" w:hAnsi="Times New Roman"/>
          <w:sz w:val="18"/>
          <w:szCs w:val="18"/>
          <w:color w:val="auto"/>
        </w:rPr>
        <w:t>. All Confidential Information documents and other tangible objects containing or representing Confidential Information which have been disclosed by either Party to the other Party, and all copies of any portion thereof which are in the possession or control of the other Party (or any party with which such information has been shared or disclosed), and all patent, copyright, trade secret, trademark and other intellectual property rights therein shall be and remain the property of the disclosing Party and shall be promptly returned to the disclosing Party, or, at the disclosing Party’s election, destroyed, upon the disclosing Party’s written request. Notwithstanding the foregoing, (i) receiving Party may keep one copy of the Confidential Information for the purpose of fulfilling and ensuring compliance with its obligations (including under this Agreement), and (ii) no return or destruction shall be required of electronically-stored materials to the extent same have been backed up in the ordinary course and cannot be expunged without considerable effort.</w:t>
      </w:r>
    </w:p>
    <w:p>
      <w:pPr>
        <w:spacing w:after="0" w:line="191"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61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License</w:t>
      </w:r>
      <w:r>
        <w:rPr>
          <w:rFonts w:ascii="Times New Roman" w:cs="Times New Roman" w:eastAsia="Times New Roman" w:hAnsi="Times New Roman"/>
          <w:sz w:val="18"/>
          <w:szCs w:val="18"/>
          <w:color w:val="auto"/>
        </w:rPr>
        <w:t>. Nothing in this Agreement is intended to grant any rights, license or conveyance to either Party under any patent, mask work right or copyright of the other Party, nor shall this Agreement grant any Party any rights, license or conveyance in or to the Confidential Information of the other Party except to use such Confidential Information for the Purpose as expressly set forth herein.</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57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upon the earlier of (i) one (1) year from the Effective Date and (ii) unless terminated earlier at any time upon thirty (30) days’ prior written notice from one Party to the other; provided that the Parties agree that for a period of five (5) years following the termination or expiration of this Agreement, they will maintain the obligations of confidentiality of each other’s furnished Confidential Information, and not use and/or disclose such information to any third party, except as expressly authorized by the disclosing Party or other applicable owner of the information in writing. All terms and provisions of this Agreement which require performance after the expiration or termination of this Agreement shall survive such expiration or termination of this Agreement for the applicable period set forth in this Agreement or if no period is specified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74" w:name="page75"/>
    <w:bookmarkEnd w:id="74"/>
    <w:p>
      <w:pPr>
        <w:jc w:val="both"/>
        <w:ind w:left="-8" w:firstLine="8"/>
        <w:spacing w:after="0" w:line="266" w:lineRule="auto"/>
        <w:tabs>
          <w:tab w:leader="none" w:pos="58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Each Party agrees that any violation or threatened violation of this Agreement may cause irreparable injury to the other Party, entitling the other Party to seek injunctive relief, in addition to all other legal or equitable remedies, without necessity of posting any bond or other security or proving specialdamages.</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8" w:right="20" w:firstLine="8"/>
        <w:spacing w:after="0" w:line="247" w:lineRule="auto"/>
        <w:tabs>
          <w:tab w:leader="none" w:pos="63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Each Party understands that the other Party may currently or in the future be developing information internally or receiving information from other Parties that may be similar to the Confidential Information. Nothing in this Agreement will be construed by either Party as a representation or inference that the other Party will not develop products or services, or have products or services developed for it, that, without direct or indirect violation of this Agreement, compete with the products or services contemplated by the other Party’s Confidential Information. Each Party acknowledges that (i) the other Party and its Affiliates may now or in the future evaluate, invest in, or do business with competitors or potential competitors of such acknowledging Party, (ii) neither the execution of this Agreement nor receipt of Confidential Information is intended to or shall, in and of itself, restrict or preclude such activities (absent a breach of the terms of this Agreement), and (iii) the receiving Party’s retention of certain unaided mental impressions of the Confidential Information will not, in and of itself, prohibit the receiving Party or its Affiliates from pursuing such activities, even if doing so involves the use of such mental impressions, so long as the receiving Party does not intentionally and directly use any Confidential Information to gain any strategic or business advantage in such endeavors.</w:t>
      </w:r>
    </w:p>
    <w:p>
      <w:pPr>
        <w:spacing w:after="0" w:line="198" w:lineRule="exact"/>
        <w:rPr>
          <w:rFonts w:ascii="Times New Roman" w:cs="Times New Roman" w:eastAsia="Times New Roman" w:hAnsi="Times New Roman"/>
          <w:sz w:val="22"/>
          <w:szCs w:val="22"/>
          <w:color w:val="auto"/>
        </w:rPr>
      </w:pPr>
    </w:p>
    <w:p>
      <w:pPr>
        <w:jc w:val="both"/>
        <w:ind w:left="-8" w:firstLine="8"/>
        <w:spacing w:after="0" w:line="258" w:lineRule="auto"/>
        <w:tabs>
          <w:tab w:leader="none" w:pos="66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Company Status</w:t>
      </w:r>
      <w:r>
        <w:rPr>
          <w:rFonts w:ascii="Times New Roman" w:cs="Times New Roman" w:eastAsia="Times New Roman" w:hAnsi="Times New Roman"/>
          <w:sz w:val="18"/>
          <w:szCs w:val="18"/>
          <w:color w:val="auto"/>
        </w:rPr>
        <w:t>. The Parties acknowledge, and shall advise their respective Representatives who are informed as to the matters which are the subject of this Agreement, that the United States securities laws and the rules and regulations promulgated thereunder prohibit any person with material, non-public information about a company from purchasing, selling, trading, or entering into options, puts, calls or other derivatives in respect of securities or such issuer or from communicating such information to any other person. Material non-public information shall be deemed non-public until 2 full business days (48 hours) after public disclosure by the Company.</w:t>
      </w:r>
    </w:p>
    <w:p>
      <w:pPr>
        <w:spacing w:after="0" w:line="183"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Agreements</w:t>
      </w:r>
    </w:p>
    <w:p>
      <w:pPr>
        <w:spacing w:after="0" w:line="225" w:lineRule="exact"/>
        <w:rPr>
          <w:rFonts w:ascii="Times New Roman" w:cs="Times New Roman" w:eastAsia="Times New Roman" w:hAnsi="Times New Roman"/>
          <w:sz w:val="18"/>
          <w:szCs w:val="18"/>
          <w:color w:val="auto"/>
        </w:rPr>
      </w:pPr>
    </w:p>
    <w:p>
      <w:pPr>
        <w:ind w:left="572" w:hanging="302"/>
        <w:spacing w:after="0"/>
        <w:tabs>
          <w:tab w:leader="none" w:pos="57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bind and inure to the benefit of the Parties hereto and their successors and assigns.</w:t>
      </w:r>
    </w:p>
    <w:p>
      <w:pPr>
        <w:spacing w:after="0" w:line="225" w:lineRule="exact"/>
        <w:rPr>
          <w:rFonts w:ascii="Times New Roman" w:cs="Times New Roman" w:eastAsia="Times New Roman" w:hAnsi="Times New Roman"/>
          <w:sz w:val="18"/>
          <w:szCs w:val="18"/>
          <w:color w:val="auto"/>
        </w:rPr>
      </w:pPr>
    </w:p>
    <w:p>
      <w:pPr>
        <w:jc w:val="both"/>
        <w:ind w:left="572" w:right="20" w:hanging="302"/>
        <w:spacing w:after="0" w:line="266" w:lineRule="auto"/>
        <w:tabs>
          <w:tab w:leader="none" w:pos="57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assigned or transferred without the prior written consent of both Parties, which consent shall not be unreasonably withheld; provided that either Party may assign this Agreement without consent to any person acquiring all or substantially all of its business or assets.</w:t>
      </w:r>
    </w:p>
    <w:p>
      <w:pPr>
        <w:spacing w:after="0" w:line="175" w:lineRule="exact"/>
        <w:rPr>
          <w:rFonts w:ascii="Times New Roman" w:cs="Times New Roman" w:eastAsia="Times New Roman" w:hAnsi="Times New Roman"/>
          <w:sz w:val="18"/>
          <w:szCs w:val="18"/>
          <w:color w:val="auto"/>
        </w:rPr>
      </w:pPr>
    </w:p>
    <w:p>
      <w:pPr>
        <w:jc w:val="both"/>
        <w:ind w:left="572" w:hanging="302"/>
        <w:spacing w:after="0" w:line="261" w:lineRule="auto"/>
        <w:tabs>
          <w:tab w:leader="none" w:pos="57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 of the State of New York, without regard to conflict of law principles. Any action may be brought in any federal or state court located in the City, County and State of New York as the Company may elect. Each Party submits to the jurisdiction of such courts and irrevocably waives any objection it may now or hereafter have to the laying of the venue in New York or that New York is not a convenient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75" w:name="page76"/>
    <w:bookmarkEnd w:id="75"/>
    <w:p>
      <w:pPr>
        <w:jc w:val="both"/>
        <w:ind w:left="302" w:hanging="302"/>
        <w:spacing w:after="0" w:line="256" w:lineRule="auto"/>
        <w:tabs>
          <w:tab w:leader="none" w:pos="30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contains the entire agreement and understanding between the Parties with respect to the subject matter hereof and shall supersede any previous confidentiality agreements relating to the Purpose, and neither Party shall have any obligation, express or implied by law, with respect to trade secret or proprietary information of the other Party except as set forth herein. Any failure to enforce any provision of this Agreement shall not constitute a waiver thereof or of any other provision. This Agreement may not be amended, modified nor any obligation waived, except by a writing signed by both Parties. The invalidity or unenforceability of any provisions of this Agreement shall not affect the validity or enforceability of any other provision of this Agreement, which shall remain in full force and effect.</w:t>
      </w:r>
    </w:p>
    <w:p>
      <w:pPr>
        <w:spacing w:after="0" w:line="187" w:lineRule="exact"/>
        <w:rPr>
          <w:rFonts w:ascii="Times New Roman" w:cs="Times New Roman" w:eastAsia="Times New Roman" w:hAnsi="Times New Roman"/>
          <w:sz w:val="18"/>
          <w:szCs w:val="18"/>
          <w:color w:val="auto"/>
        </w:rPr>
      </w:pPr>
    </w:p>
    <w:p>
      <w:pPr>
        <w:jc w:val="both"/>
        <w:ind w:left="302" w:hanging="302"/>
        <w:spacing w:after="0" w:line="266" w:lineRule="auto"/>
        <w:tabs>
          <w:tab w:leader="none" w:pos="30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an original, facsimile or electronic signature from a duly authorized person of the respective Parties and be in one or multiple counterparts, with such counterparts constituting one instrument. Any photocopy, facsimile or electronic reproduction of the executed Agreement shall constitute an original.</w:t>
      </w:r>
    </w:p>
    <w:p>
      <w:pPr>
        <w:spacing w:after="0" w:line="174" w:lineRule="exact"/>
        <w:rPr>
          <w:sz w:val="20"/>
          <w:szCs w:val="20"/>
          <w:color w:val="auto"/>
        </w:rPr>
      </w:pPr>
    </w:p>
    <w:p>
      <w:pPr>
        <w:jc w:val="center"/>
        <w:ind w:right="25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267335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2"/>
          </w:cols>
          <w:pgMar w:left="598" w:top="121"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7"/>
          <w:szCs w:val="17"/>
          <w:color w:val="auto"/>
        </w:rPr>
        <w:t>IN WITNESS WHEREOF, the authorized representatives of the Parties have executed this Agreement as of the Effective 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Tariq Imam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Tariq Imam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SVP, General Counsel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534924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KUVA LABS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Land, CEO</w:t>
      </w:r>
    </w:p>
    <w:p>
      <w:pPr>
        <w:spacing w:after="0" w:line="225"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Name/Title:</w:t>
      </w:r>
      <w:r>
        <w:rPr>
          <w:sz w:val="20"/>
          <w:szCs w:val="20"/>
          <w:color w:val="auto"/>
        </w:rPr>
        <w:tab/>
      </w:r>
      <w:r>
        <w:rPr>
          <w:rFonts w:ascii="Times New Roman" w:cs="Times New Roman" w:eastAsia="Times New Roman" w:hAnsi="Times New Roman"/>
          <w:sz w:val="18"/>
          <w:szCs w:val="18"/>
          <w:color w:val="auto"/>
        </w:rPr>
        <w:t>Mark Land,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17145</wp:posOffset>
            </wp:positionV>
            <wp:extent cx="270891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Street Address:</w:t>
      </w:r>
      <w:r>
        <w:rPr>
          <w:sz w:val="20"/>
          <w:szCs w:val="20"/>
          <w:color w:val="auto"/>
        </w:rPr>
        <w:tab/>
      </w:r>
      <w:r>
        <w:rPr>
          <w:rFonts w:ascii="Times New Roman" w:cs="Times New Roman" w:eastAsia="Times New Roman" w:hAnsi="Times New Roman"/>
          <w:sz w:val="17"/>
          <w:szCs w:val="17"/>
          <w:color w:val="auto"/>
        </w:rPr>
        <w:t>1700 Post Oak Blvd, Suite 600</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City, State, Zip:</w:t>
        <w:tab/>
        <w:t>Houston, TX 77056</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Country:</w:t>
      </w:r>
      <w:r>
        <w:rPr>
          <w:sz w:val="20"/>
          <w:szCs w:val="20"/>
          <w:color w:val="auto"/>
        </w:rPr>
        <w:tab/>
      </w:r>
      <w:r>
        <w:rPr>
          <w:rFonts w:ascii="Times New Roman" w:cs="Times New Roman" w:eastAsia="Times New Roman" w:hAnsi="Times New Roman"/>
          <w:sz w:val="18"/>
          <w:szCs w:val="18"/>
          <w:color w:val="auto"/>
        </w:rPr>
        <w:t>USA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17145</wp:posOffset>
            </wp:positionV>
            <wp:extent cx="270891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27089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(e)(5)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229"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April 25,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Kuva Labs Inc. (“you”)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1700 Post Oak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600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77056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condition to the entry into of a term sheet for a proposed tender offer transaction (the “</w:t>
      </w:r>
      <w:r>
        <w:rPr>
          <w:rFonts w:ascii="Times New Roman" w:cs="Times New Roman" w:eastAsia="Times New Roman" w:hAnsi="Times New Roman"/>
          <w:sz w:val="18"/>
          <w:szCs w:val="18"/>
          <w:u w:val="single" w:color="auto"/>
          <w:color w:val="auto"/>
        </w:rPr>
        <w:t>Proposed Transaction</w:t>
      </w:r>
      <w:r>
        <w:rPr>
          <w:rFonts w:ascii="Times New Roman" w:cs="Times New Roman" w:eastAsia="Times New Roman" w:hAnsi="Times New Roman"/>
          <w:sz w:val="18"/>
          <w:szCs w:val="18"/>
          <w:color w:val="auto"/>
        </w:rPr>
        <w:t>”) by you and Lisata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in consideration of the substantial amount of resources the Company expects to expend in connection with evaluating and negotiating the terms of the Proposed Transaction, the Company is requiring you to agree to the following provisions set forth in this Standstill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940" w:hanging="626"/>
        <w:spacing w:after="0"/>
        <w:tabs>
          <w:tab w:leader="none" w:pos="1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1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other Person that directly or indirectly controls, is controlled by or is under common control with such specified Person. The term “control,” when used with respect to any specified Person, means the possession, directly or indirectly, of the power to direct or cause the direction of the management or policies of such Person, whether through the ownership of voting securities, by contract or otherwise; and the terms “controlling” and “controlled” have correlative meanings.</w:t>
      </w:r>
    </w:p>
    <w:p>
      <w:pPr>
        <w:spacing w:after="0" w:line="179"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Securities Exchange Act of 1934, as amended.</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9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business, corporation, company, association, limited liability company, partnership, limited partnership, limited liability partnership, joint venture, business enterprise, trust, governmental authority or other legal entity and the media.</w:t>
      </w:r>
    </w:p>
    <w:p>
      <w:pPr>
        <w:spacing w:after="0" w:line="161" w:lineRule="exact"/>
        <w:rPr>
          <w:rFonts w:ascii="Times New Roman" w:cs="Times New Roman" w:eastAsia="Times New Roman" w:hAnsi="Times New Roman"/>
          <w:sz w:val="18"/>
          <w:szCs w:val="18"/>
          <w:color w:val="auto"/>
        </w:rPr>
      </w:pPr>
    </w:p>
    <w:p>
      <w:pPr>
        <w:ind w:left="1300" w:right="20" w:firstLine="14"/>
        <w:spacing w:after="0" w:line="268" w:lineRule="auto"/>
        <w:tabs>
          <w:tab w:leader="none" w:pos="193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Solicitation of Employees</w:t>
      </w:r>
      <w:r>
        <w:rPr>
          <w:rFonts w:ascii="Times New Roman" w:cs="Times New Roman" w:eastAsia="Times New Roman" w:hAnsi="Times New Roman"/>
          <w:sz w:val="17"/>
          <w:szCs w:val="17"/>
          <w:color w:val="auto"/>
        </w:rPr>
        <w:t xml:space="preserve">. You, your representatives and your Affiliates shall not, for a period ending on the earlier of two years from the date of this Agreement or the execution of a definitive transaction agreement in connection with the Proposed Transaction, directly or indirectly, solicit, offer to hire or hire (including as an independent contractor) any person who is at any time during the term of this Agreement working for the Company or any of its subsidiaries as an employee or otherwise solicit, induce or otherwise encourage any Company employee, consultant or independent contractor to discontinue working, or refrain from entering into any employment or other relationship (contractual or otherwise) with, the Company or any of its subsidiaries;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you shall not be restricted from</w:t>
      </w:r>
    </w:p>
    <w:p>
      <w:pPr>
        <w:spacing w:after="0" w:line="4" w:lineRule="exact"/>
        <w:rPr>
          <w:rFonts w:ascii="Times New Roman" w:cs="Times New Roman" w:eastAsia="Times New Roman" w:hAnsi="Times New Roman"/>
          <w:sz w:val="17"/>
          <w:szCs w:val="17"/>
          <w:color w:val="auto"/>
        </w:rPr>
      </w:pPr>
    </w:p>
    <w:p>
      <w:pPr>
        <w:ind w:left="1300"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making any general solicitation for employment by use of advertisements in the media that is not specifically directed at employees of the Company or its subsidiaries and (ii) hiring any such employee who responds to any such general solicitation without any solicitation in violation of this Section 2(a).</w:t>
      </w:r>
    </w:p>
    <w:p>
      <w:pPr>
        <w:spacing w:after="0" w:line="185" w:lineRule="exact"/>
        <w:rPr>
          <w:rFonts w:ascii="Times New Roman" w:cs="Times New Roman" w:eastAsia="Times New Roman" w:hAnsi="Times New Roman"/>
          <w:sz w:val="17"/>
          <w:szCs w:val="17"/>
          <w:color w:val="auto"/>
        </w:rPr>
      </w:pPr>
    </w:p>
    <w:p>
      <w:pPr>
        <w:jc w:val="both"/>
        <w:ind w:left="1300" w:right="20" w:firstLine="14"/>
        <w:spacing w:after="0" w:line="261" w:lineRule="auto"/>
        <w:tabs>
          <w:tab w:leader="none" w:pos="193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 You agree that, without the prior written consent of the Board of Directors of the Company, for a period ending on the earlier of one year from the date of this Agreement or the execution of a definitive transaction agreement in connection with the Proposed Transaction (the “</w:t>
      </w:r>
      <w:r>
        <w:rPr>
          <w:rFonts w:ascii="Times New Roman" w:cs="Times New Roman" w:eastAsia="Times New Roman" w:hAnsi="Times New Roman"/>
          <w:sz w:val="18"/>
          <w:szCs w:val="18"/>
          <w:u w:val="single" w:color="auto"/>
          <w:color w:val="auto"/>
        </w:rPr>
        <w:t>Standstill Period</w:t>
      </w:r>
      <w:r>
        <w:rPr>
          <w:rFonts w:ascii="Times New Roman" w:cs="Times New Roman" w:eastAsia="Times New Roman" w:hAnsi="Times New Roman"/>
          <w:sz w:val="18"/>
          <w:szCs w:val="18"/>
          <w:color w:val="auto"/>
        </w:rPr>
        <w:t>”), you shall not, and shall cause your Affiliates (acting alone or as part of a group), and you shall instruct your and their respective representatives acting on your or their behalf, not to,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85" w:lineRule="exact"/>
        <w:rPr>
          <w:sz w:val="20"/>
          <w:szCs w:val="20"/>
          <w:color w:val="auto"/>
        </w:rPr>
      </w:pPr>
    </w:p>
    <w:p>
      <w:pPr>
        <w:jc w:val="both"/>
        <w:ind w:firstLine="1952"/>
        <w:spacing w:after="0" w:line="266" w:lineRule="auto"/>
        <w:tabs>
          <w:tab w:leader="none" w:pos="259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or seek, offer or propose (whether publicly or otherwise) to effect, or announce any intention to effect or cause or participate in or in any way assist, knowingly facilitate or knowingly encourage any other Person to effect or seek, offer or propose (whether publicly or otherwise) to effect or participate in any of the following:</w:t>
      </w:r>
    </w:p>
    <w:p>
      <w:pPr>
        <w:spacing w:after="0" w:line="175" w:lineRule="exact"/>
        <w:rPr>
          <w:rFonts w:ascii="Times New Roman" w:cs="Times New Roman" w:eastAsia="Times New Roman" w:hAnsi="Times New Roman"/>
          <w:sz w:val="18"/>
          <w:szCs w:val="18"/>
          <w:color w:val="auto"/>
        </w:rPr>
      </w:pPr>
    </w:p>
    <w:p>
      <w:pPr>
        <w:jc w:val="both"/>
        <w:ind w:firstLine="2600"/>
        <w:spacing w:after="0" w:line="256" w:lineRule="auto"/>
        <w:tabs>
          <w:tab w:leader="none" w:pos="326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sale of, or obtaining or selling any economic interest in, or obtaining any right to direct the voting or disposition of, (x) any securities or beneficial ownership thereof (directly or by means of any derivative securities), or rights or options to acquire, sell or obtain or sell economic interest in, or obtain any right to direct the voting or disposition of, any securities or beneficial ownership thereof (directly or by means of any derivative securities) reportable under the Exchange Act, or (y) any assets, indebtedness or businesses of the Company or any of its subsidiaries, in each case, whether or not any of the foregoing may be acquired or obtained immediately or only after the passage of time or upon the satisfaction of one or more conditions (whether or not within your control) pursuant to any agreement, arrangement or understanding or otherwise;</w:t>
      </w:r>
    </w:p>
    <w:p>
      <w:pPr>
        <w:spacing w:after="0" w:line="187" w:lineRule="exact"/>
        <w:rPr>
          <w:rFonts w:ascii="Times New Roman" w:cs="Times New Roman" w:eastAsia="Times New Roman" w:hAnsi="Times New Roman"/>
          <w:sz w:val="18"/>
          <w:szCs w:val="18"/>
          <w:color w:val="auto"/>
        </w:rPr>
      </w:pPr>
    </w:p>
    <w:p>
      <w:pPr>
        <w:ind w:left="3500" w:hanging="900"/>
        <w:spacing w:after="0"/>
        <w:tabs>
          <w:tab w:leader="none" w:pos="3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tender or exchange offer, consolidation, business combination, acquisition, merger, joint venture,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or similar transaction involving the Company or any of its subsidiaries or any of their respective assets or securities;</w:t>
      </w:r>
    </w:p>
    <w:p>
      <w:pPr>
        <w:spacing w:after="0" w:line="206" w:lineRule="exact"/>
        <w:rPr>
          <w:rFonts w:ascii="Times New Roman" w:cs="Times New Roman" w:eastAsia="Times New Roman" w:hAnsi="Times New Roman"/>
          <w:sz w:val="18"/>
          <w:szCs w:val="18"/>
          <w:color w:val="auto"/>
        </w:rPr>
      </w:pPr>
    </w:p>
    <w:p>
      <w:pPr>
        <w:ind w:firstLine="2600"/>
        <w:spacing w:after="0" w:line="282" w:lineRule="auto"/>
        <w:tabs>
          <w:tab w:leader="none" w:pos="336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restructuring, reorganization, liquidation, dissolution or other extraordinary transaction with respect to the Company or any of its subsidiaries;</w:t>
      </w:r>
    </w:p>
    <w:p>
      <w:pPr>
        <w:spacing w:after="0" w:line="161" w:lineRule="exact"/>
        <w:rPr>
          <w:rFonts w:ascii="Times New Roman" w:cs="Times New Roman" w:eastAsia="Times New Roman" w:hAnsi="Times New Roman"/>
          <w:sz w:val="18"/>
          <w:szCs w:val="18"/>
          <w:color w:val="auto"/>
        </w:rPr>
      </w:pPr>
    </w:p>
    <w:p>
      <w:pPr>
        <w:jc w:val="both"/>
        <w:ind w:firstLine="2600"/>
        <w:spacing w:after="0" w:line="258" w:lineRule="auto"/>
        <w:tabs>
          <w:tab w:leader="none" w:pos="337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“solicitation” of “proxies” (as such terms are used in the proxy rules of the Securities and Exchange Commission) to vote any voting securities (or any securities convertible into or exchangeable for any voting securities) of the Company or any of its subsidiaries or consent to any action from any holder of any voting securities (or any securities convertible into or exchangeable for any voting securities) of the Company or any of its subsidiaries or seek to advise or influence any Person with respect to the voting of or the granting of any consent with respect to any voting securities (or any securities convertible into or exchangeable for any voting securities) of the Company or any of its subsidiaries; or</w:t>
      </w:r>
    </w:p>
    <w:p>
      <w:pPr>
        <w:spacing w:after="0" w:line="183" w:lineRule="exact"/>
        <w:rPr>
          <w:rFonts w:ascii="Times New Roman" w:cs="Times New Roman" w:eastAsia="Times New Roman" w:hAnsi="Times New Roman"/>
          <w:sz w:val="18"/>
          <w:szCs w:val="18"/>
          <w:color w:val="auto"/>
        </w:rPr>
      </w:pPr>
    </w:p>
    <w:p>
      <w:pPr>
        <w:ind w:left="3280" w:hanging="680"/>
        <w:spacing w:after="0"/>
        <w:tabs>
          <w:tab w:leader="none" w:pos="32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any stockholder proposal or convening of a stockholders' meeting of or involving the Company or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its subsidiaries;</w:t>
      </w:r>
    </w:p>
    <w:p>
      <w:pPr>
        <w:spacing w:after="0" w:line="206"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join or in any way participate in a “group” (as defined and reportable under the Exchange Act) in connection with the voting securities (or any securities convertible into or exchangeable for any voting securities) of the Company or any of its subsidiaries or otherwise act in concert with any Person in respect of any such securities or any of the events described in this Section 3;</w:t>
      </w:r>
    </w:p>
    <w:p>
      <w:pPr>
        <w:spacing w:after="0" w:line="175"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74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act, alone or in concert with others, to seek to control or influence the management, Board of Directors, governing instruments or policies of the Company or any of its subsidiaries or to seek to obtain representation on the Board of Directors of the Company or any of its subsidiaries;</w:t>
      </w:r>
    </w:p>
    <w:p>
      <w:pPr>
        <w:spacing w:after="0" w:line="17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or direct any Person to disclose, any intention, plan or arrangement inconsistent with the foregoing;</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could reasonably be expected to require the Company to make a public announcement regarding the possibility of any of the events described in this Section 3;</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engage in, or in any way participate in, directly or indirectly, any request for, or effort to obtain, an inspection of the Company’s books and records;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185" w:lineRule="exact"/>
        <w:rPr>
          <w:sz w:val="20"/>
          <w:szCs w:val="20"/>
          <w:color w:val="auto"/>
        </w:rPr>
      </w:pPr>
    </w:p>
    <w:p>
      <w:pPr>
        <w:ind w:firstLine="1952"/>
        <w:spacing w:after="0" w:line="282" w:lineRule="auto"/>
        <w:tabs>
          <w:tab w:leader="none" w:pos="264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assist, or knowingly encourage any other Persons in connection with any of the foregoing, or enter into any agreements, arrangements or understandings with any other Person with respect to any of the foregoing;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in the case of each of the foregoing clauses (a) through (g), (i) such actions are taken pursuant to a contract in place between the parties or their Affiliates or (ii) you have received the prior written invitation or approval of the Company to do so. Notwithstanding the foregoing provisions of this Section 3, nothing in this Section 3 shall restrict you or such of your representatives from making a proposal to the Board of Directors of the Company on a confidential basis regarding a possible transaction to directly or indirectly acquire all or a controlling portion of the Company’s equity securities, all or substantially all of the Company’s assets or a significant business line of the Company (or the assets related thereto), but only if such proposal does not require any party to make a public announcement regarding this Agreement, such proposal or a possible transaction or any of the matters described in this Section 3.</w:t>
      </w:r>
    </w:p>
    <w:p>
      <w:pPr>
        <w:spacing w:after="0" w:line="189" w:lineRule="exact"/>
        <w:rPr>
          <w:sz w:val="20"/>
          <w:szCs w:val="20"/>
          <w:color w:val="auto"/>
        </w:rPr>
      </w:pPr>
    </w:p>
    <w:p>
      <w:pPr>
        <w:jc w:val="both"/>
        <w:ind w:firstLine="1304"/>
        <w:spacing w:after="0" w:line="256" w:lineRule="auto"/>
        <w:tabs>
          <w:tab w:leader="none" w:pos="2317" w:val="left"/>
        </w:tabs>
        <w:numPr>
          <w:ilvl w:val="0"/>
          <w:numId w:val="5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Fiduciary or Advisory Relationship</w:t>
      </w:r>
      <w:r>
        <w:rPr>
          <w:rFonts w:ascii="Times New Roman" w:cs="Times New Roman" w:eastAsia="Times New Roman" w:hAnsi="Times New Roman"/>
          <w:sz w:val="18"/>
          <w:szCs w:val="18"/>
          <w:color w:val="auto"/>
        </w:rPr>
        <w:t>. You and your representatives agree that neither the Company nor any of its representatives or Affiliates is responsible as a fiduciary or is acting as an adviser (as to financial, legal, accounting, regulatory, tax or any other matters) to you or any of your representatives in connection with any part of the Proposed Transaction, and that none of the Company or any of its representatives or Affiliates has any legal, fiduciary or other duty to you or your representatives whatsoever. You and your representatives acknowledge and agree that you are each responsible for making an independent judgment in relation to the Proposed Transaction (and each part of it) and for obtaining all necessary financial, legal, accounting, regulatory, tax and other advice that you deem necessary or appropriate.</w:t>
      </w:r>
    </w:p>
    <w:p>
      <w:pPr>
        <w:spacing w:after="0" w:line="187" w:lineRule="exact"/>
        <w:rPr>
          <w:rFonts w:ascii="Times New Roman" w:cs="Times New Roman" w:eastAsia="Times New Roman" w:hAnsi="Times New Roman"/>
          <w:sz w:val="18"/>
          <w:szCs w:val="18"/>
          <w:u w:val="single" w:color="auto"/>
          <w:color w:val="auto"/>
        </w:rPr>
      </w:pPr>
    </w:p>
    <w:p>
      <w:pPr>
        <w:ind w:left="1940" w:hanging="636"/>
        <w:spacing w:after="0"/>
        <w:tabs>
          <w:tab w:leader="none" w:pos="1940" w:val="left"/>
        </w:tabs>
        <w:numPr>
          <w:ilvl w:val="0"/>
          <w:numId w:val="5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ind w:left="2740" w:hanging="788"/>
        <w:spacing w:after="0"/>
        <w:tabs>
          <w:tab w:leader="none" w:pos="2740" w:val="left"/>
        </w:tabs>
        <w:numPr>
          <w:ilvl w:val="1"/>
          <w:numId w:val="5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This Agreement is subject to the provisions of the confidentiality agreement existing as of the date</w:t>
      </w:r>
    </w:p>
    <w:p>
      <w:pPr>
        <w:spacing w:after="0" w:line="27" w:lineRule="exact"/>
        <w:rPr>
          <w:rFonts w:ascii="Times New Roman" w:cs="Times New Roman" w:eastAsia="Times New Roman" w:hAnsi="Times New Roman"/>
          <w:sz w:val="18"/>
          <w:szCs w:val="18"/>
          <w:u w:val="single" w:color="auto"/>
          <w:color w:val="auto"/>
        </w:rPr>
      </w:pPr>
    </w:p>
    <w:p>
      <w:pPr>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hereof between the parties.</w:t>
      </w:r>
    </w:p>
    <w:p>
      <w:pPr>
        <w:spacing w:after="0" w:line="206" w:lineRule="exact"/>
        <w:rPr>
          <w:rFonts w:ascii="Times New Roman" w:cs="Times New Roman" w:eastAsia="Times New Roman" w:hAnsi="Times New Roman"/>
          <w:sz w:val="18"/>
          <w:szCs w:val="18"/>
          <w:u w:val="single" w:color="auto"/>
          <w:color w:val="auto"/>
        </w:rPr>
      </w:pPr>
    </w:p>
    <w:p>
      <w:pPr>
        <w:ind w:right="20" w:firstLine="1952"/>
        <w:spacing w:after="0" w:line="282" w:lineRule="auto"/>
        <w:tabs>
          <w:tab w:leader="none" w:pos="2649" w:val="left"/>
        </w:tabs>
        <w:numPr>
          <w:ilvl w:val="1"/>
          <w:numId w:val="5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Assignment; Successors</w:t>
      </w:r>
      <w:r>
        <w:rPr>
          <w:rFonts w:ascii="Times New Roman" w:cs="Times New Roman" w:eastAsia="Times New Roman" w:hAnsi="Times New Roman"/>
          <w:sz w:val="18"/>
          <w:szCs w:val="18"/>
          <w:color w:val="auto"/>
        </w:rPr>
        <w:t>. Neither this Agreement nor any of the rights or obligations hereunder may be assigned by either party without the prior written consent of the other party. Any purported assignment without such consent shall be void and unenforceable.</w:t>
      </w:r>
    </w:p>
    <w:p>
      <w:pPr>
        <w:spacing w:after="0" w:line="161" w:lineRule="exact"/>
        <w:rPr>
          <w:rFonts w:ascii="Times New Roman" w:cs="Times New Roman" w:eastAsia="Times New Roman" w:hAnsi="Times New Roman"/>
          <w:sz w:val="18"/>
          <w:szCs w:val="18"/>
          <w:u w:val="single" w:color="auto"/>
          <w:color w:val="auto"/>
        </w:rPr>
      </w:pPr>
    </w:p>
    <w:p>
      <w:pPr>
        <w:jc w:val="both"/>
        <w:ind w:firstLine="1952"/>
        <w:spacing w:after="0" w:line="258" w:lineRule="auto"/>
        <w:tabs>
          <w:tab w:leader="none" w:pos="2647" w:val="left"/>
        </w:tabs>
        <w:numPr>
          <w:ilvl w:val="1"/>
          <w:numId w:val="5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This Agreement may be amended, modified or waived only by a separate written instrument duly signed and delivered by or on behalf of both parties. You agree that no failure or delay by the Company in exercising any right, power or privilege hereunder will operate as a waiver, nor will any single or partial exercise thereof preclude any other or further exercise thereof or the exercise of any right, power or privilege hereunder. No waiver by any party shall operate or be construed as a waiver in respect of any failure, breach or default not expressly identified by such written waiver, whether of a similar or different character, and whether occurring before or after that waiver.</w:t>
      </w:r>
    </w:p>
    <w:p>
      <w:pPr>
        <w:spacing w:after="0" w:line="183" w:lineRule="exact"/>
        <w:rPr>
          <w:rFonts w:ascii="Times New Roman" w:cs="Times New Roman" w:eastAsia="Times New Roman" w:hAnsi="Times New Roman"/>
          <w:sz w:val="18"/>
          <w:szCs w:val="18"/>
          <w:u w:val="single" w:color="auto"/>
          <w:color w:val="auto"/>
        </w:rPr>
      </w:pPr>
    </w:p>
    <w:p>
      <w:pPr>
        <w:jc w:val="both"/>
        <w:ind w:firstLine="1952"/>
        <w:spacing w:after="0" w:line="266" w:lineRule="auto"/>
        <w:tabs>
          <w:tab w:leader="none" w:pos="2536" w:val="left"/>
        </w:tabs>
        <w:numPr>
          <w:ilvl w:val="1"/>
          <w:numId w:val="5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illegality or unenforceability of any provision of this Agreement shall not impair or affect the validity, legality or enforceability of any other provision of this Agreement, unless the enforcement of such other provision in such circumstances would be inequitable as determined by a court of competent jurisdiction.</w:t>
      </w:r>
    </w:p>
    <w:p>
      <w:pPr>
        <w:spacing w:after="0" w:line="175" w:lineRule="exact"/>
        <w:rPr>
          <w:rFonts w:ascii="Times New Roman" w:cs="Times New Roman" w:eastAsia="Times New Roman" w:hAnsi="Times New Roman"/>
          <w:sz w:val="18"/>
          <w:szCs w:val="18"/>
          <w:u w:val="single" w:color="auto"/>
          <w:color w:val="auto"/>
        </w:rPr>
      </w:pPr>
    </w:p>
    <w:p>
      <w:pPr>
        <w:jc w:val="both"/>
        <w:ind w:firstLine="1952"/>
        <w:spacing w:after="0" w:line="256" w:lineRule="auto"/>
        <w:tabs>
          <w:tab w:leader="none" w:pos="2602" w:val="left"/>
        </w:tabs>
        <w:numPr>
          <w:ilvl w:val="1"/>
          <w:numId w:val="5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Obligation to Complete a Transaction</w:t>
      </w:r>
      <w:r>
        <w:rPr>
          <w:rFonts w:ascii="Times New Roman" w:cs="Times New Roman" w:eastAsia="Times New Roman" w:hAnsi="Times New Roman"/>
          <w:sz w:val="18"/>
          <w:szCs w:val="18"/>
          <w:color w:val="auto"/>
        </w:rPr>
        <w:t>. This Agreement is not intended to, and does not, constitute an agreement or impose any obligation on either party: (i) to consummate the Proposed Transaction or any other transaction; (ii) to conduct or continue discussions or negotiations concerning the Proposed Transaction; (iii) to enter into a joint venture or other business relationship of any kind; or (iv) to enter into or negotiate a definitive transaction agreement for the Proposed Transaction. Except for matters specifically agreed to in this Agreement, neither party shall have any rights or obligations of any kind whatsoever with respect to a Proposed Transaction by virtue of this Agreement or any other written or oral expression by the parties or their respective representatives unless and until a definitive transaction agreement is executed and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185" w:lineRule="exact"/>
        <w:rPr>
          <w:sz w:val="20"/>
          <w:szCs w:val="20"/>
          <w:color w:val="auto"/>
        </w:rPr>
      </w:pPr>
    </w:p>
    <w:p>
      <w:pPr>
        <w:jc w:val="both"/>
        <w:ind w:firstLine="1952"/>
        <w:spacing w:after="0" w:line="269" w:lineRule="auto"/>
        <w:tabs>
          <w:tab w:leader="none" w:pos="2623" w:val="left"/>
        </w:tabs>
        <w:numPr>
          <w:ilvl w:val="0"/>
          <w:numId w:val="5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Governing Law; Forum</w:t>
      </w:r>
      <w:r>
        <w:rPr>
          <w:rFonts w:ascii="Times New Roman" w:cs="Times New Roman" w:eastAsia="Times New Roman" w:hAnsi="Times New Roman"/>
          <w:sz w:val="17"/>
          <w:szCs w:val="17"/>
          <w:color w:val="auto"/>
        </w:rPr>
        <w:t>. This Agreement, and all claims or causes of action (whether in contract or tort) that may be based upon, arise out of or relate to this Agreement, or the negotiation, execution or performance of this Agreement shall be governed by, and construed in accordance with, the laws of the State of New York without regard to the principles of conflicts of laws in any jurisdiction. Each party consents and submits to the exclusive jurisdiction of the courts of the State of New York and the courts of the United States located in New York for the adjudication of any action or legal proceeding relating to or arising out of this Agreement and the transactions contemplated hereby (and each party agrees not to commence any action or legal proceeding relating thereto except in any such court). Each party hereby irrevocably and unconditionally waives any objection which it may now or hereafter have to the laying of venue in such courts and agrees not to plead or claim in any such court that any such action or legal proceeding brought in any such court has been brought in an inconvenient forum. Each party hereby agrees that service of any process, summons, notice or document by U.S. registered mail addressed to such party shall be effective service of process for any such suit, action or proceeding brought against such party in any such court. Each party hereto agrees that a final judgment in any such suit, action or proceeding brought in any such court shall be conclusive and binding upon such party and may be enforced in any other courts to whose jurisdiction such party is or may be subject by suit upon such judgment.</w:t>
      </w:r>
    </w:p>
    <w:p>
      <w:pPr>
        <w:spacing w:after="0" w:line="181" w:lineRule="exact"/>
        <w:rPr>
          <w:rFonts w:ascii="Times New Roman" w:cs="Times New Roman" w:eastAsia="Times New Roman" w:hAnsi="Times New Roman"/>
          <w:sz w:val="17"/>
          <w:szCs w:val="17"/>
          <w:u w:val="single" w:color="auto"/>
          <w:color w:val="auto"/>
        </w:rPr>
      </w:pPr>
    </w:p>
    <w:p>
      <w:pPr>
        <w:ind w:firstLine="1952"/>
        <w:spacing w:after="0" w:line="282" w:lineRule="auto"/>
        <w:tabs>
          <w:tab w:leader="none" w:pos="2716" w:val="left"/>
        </w:tabs>
        <w:numPr>
          <w:ilvl w:val="0"/>
          <w:numId w:val="5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HEREBY IRREVOCABLY WAIVES ANY AND ALL RIGHT TO TRIAL BY JURY IN ANY LEGAL PROCEEDING ARISING OUT OF OR RELATED TO THIS AGREEMENT.</w:t>
      </w:r>
    </w:p>
    <w:p>
      <w:pPr>
        <w:spacing w:after="0" w:line="161" w:lineRule="exact"/>
        <w:rPr>
          <w:rFonts w:ascii="Times New Roman" w:cs="Times New Roman" w:eastAsia="Times New Roman" w:hAnsi="Times New Roman"/>
          <w:sz w:val="18"/>
          <w:szCs w:val="18"/>
          <w:u w:val="single" w:color="auto"/>
          <w:color w:val="auto"/>
        </w:rPr>
      </w:pPr>
    </w:p>
    <w:p>
      <w:pPr>
        <w:jc w:val="both"/>
        <w:ind w:firstLine="1952"/>
        <w:spacing w:after="0" w:line="261" w:lineRule="auto"/>
        <w:tabs>
          <w:tab w:leader="none" w:pos="2572" w:val="left"/>
        </w:tabs>
        <w:numPr>
          <w:ilvl w:val="0"/>
          <w:numId w:val="5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and delivered electronically and in any number of counterparts (including by fax and PDF) with the same effect as if the signatures to each counterpart were upon a single instrument, and all such counterparts together shall be deemed an original of this Agreement. This Agreement shall become effective when, and only when, each party hereto shall have received a counterpart hereof signed by the other party hereto.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our agreement, please sign and return one copy of this Agreement, whereupon this Agreement shall constitute our binding agreement with respect to the matters set forth herein.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J. Mazzo,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J. Mazzo, PhD</w:t>
      </w:r>
    </w:p>
    <w:p>
      <w:pPr>
        <w:spacing w:after="0" w:line="27" w:lineRule="exact"/>
        <w:rPr>
          <w:sz w:val="20"/>
          <w:szCs w:val="20"/>
          <w:color w:val="auto"/>
        </w:rPr>
      </w:pPr>
    </w:p>
    <w:p>
      <w:pPr>
        <w:ind w:left="596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&amp;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KUVA LABS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Mark Land</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Standstill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lvl w:ilvl="1">
      <w:lvlJc w:val="left"/>
      <w:lvlText w:val="(%2)"/>
      <w:numFmt w:val="decimal"/>
      <w:start w:val="212"/>
    </w:lvl>
  </w:abstractNum>
  <w:abstractNum w:abstractNumId="1">
    <w:nsid w:val="1E7FF521"/>
    <w:multiLevelType w:val="hybridMultilevel"/>
    <w:lvl w:ilvl="0">
      <w:lvlJc w:val="left"/>
      <w:lvlText w:val="(%1)"/>
      <w:numFmt w:val="lowerRoman"/>
      <w:start w:val="2"/>
    </w:lvl>
  </w:abstractNum>
  <w:abstractNum w:abstractNumId="2">
    <w:nsid w:val="7C3DBD3D"/>
    <w:multiLevelType w:val="hybridMultilevel"/>
    <w:lvl w:ilvl="0">
      <w:lvlJc w:val="left"/>
      <w:lvlText w:val="(%1)"/>
      <w:numFmt w:val="lowerRoman"/>
      <w:start w:val="2"/>
    </w:lvl>
  </w:abstractNum>
  <w:abstractNum w:abstractNumId="3">
    <w:nsid w:val="737B8DDC"/>
    <w:multiLevelType w:val="hybridMultilevel"/>
    <w:lvl w:ilvl="0">
      <w:lvlJc w:val="left"/>
      <w:lvlText w:val="(%1)"/>
      <w:numFmt w:val="lowerRoman"/>
      <w:start w:val="3"/>
    </w:lvl>
  </w:abstractNum>
  <w:abstractNum w:abstractNumId="4">
    <w:nsid w:val="6CEAF087"/>
    <w:multiLevelType w:val="hybridMultilevel"/>
    <w:lvl w:ilvl="0">
      <w:lvlJc w:val="left"/>
      <w:lvlText w:val="(%1)"/>
      <w:numFmt w:val="upperLetter"/>
      <w:start w:val="4"/>
    </w:lvl>
  </w:abstractNum>
  <w:abstractNum w:abstractNumId="5">
    <w:nsid w:val="22221A70"/>
    <w:multiLevelType w:val="hybridMultilevel"/>
    <w:lvl w:ilvl="0">
      <w:lvlJc w:val="left"/>
      <w:lvlText w:val="(%1)"/>
      <w:numFmt w:val="upperLetter"/>
      <w:start w:val="1"/>
    </w:lvl>
  </w:abstractNum>
  <w:abstractNum w:abstractNumId="6">
    <w:nsid w:val="4516DDE9"/>
    <w:multiLevelType w:val="hybridMultilevel"/>
    <w:lvl w:ilvl="0">
      <w:lvlJc w:val="left"/>
      <w:lvlText w:val="(%1)"/>
      <w:numFmt w:val="lowerRoman"/>
      <w:start w:val="2"/>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1)"/>
      <w:numFmt w:val="upperLetter"/>
      <w:start w:val="1"/>
    </w:lvl>
  </w:abstractNum>
  <w:abstractNum w:abstractNumId="9">
    <w:nsid w:val="419AC241"/>
    <w:multiLevelType w:val="hybridMultilevel"/>
    <w:lvl w:ilvl="0">
      <w:lvlJc w:val="left"/>
      <w:lvlText w:val="(%1)"/>
      <w:numFmt w:val="lowerRoman"/>
      <w:start w:val="4"/>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upperLetter"/>
      <w:start w:val="1"/>
    </w:lvl>
  </w:abstractNum>
  <w:abstractNum w:abstractNumId="13">
    <w:nsid w:val="3804823E"/>
    <w:multiLevelType w:val="hybridMultilevel"/>
    <w:lvl w:ilvl="0">
      <w:lvlJc w:val="left"/>
      <w:lvlText w:val="(%1)"/>
      <w:numFmt w:val="lowerLetter"/>
      <w:start w:val="1"/>
    </w:lvl>
  </w:abstractNum>
  <w:abstractNum w:abstractNumId="14">
    <w:nsid w:val="77465F01"/>
    <w:multiLevelType w:val="hybridMultilevel"/>
    <w:lvl w:ilvl="0">
      <w:lvlJc w:val="left"/>
      <w:lvlText w:val="(%1)"/>
      <w:numFmt w:val="lowerLetter"/>
      <w:start w:val="2"/>
    </w:lvl>
  </w:abstractNum>
  <w:abstractNum w:abstractNumId="15">
    <w:nsid w:val="7724C67E"/>
    <w:multiLevelType w:val="hybridMultilevel"/>
    <w:lvl w:ilvl="0">
      <w:lvlJc w:val="left"/>
      <w:lvlText w:val="(%1)"/>
      <w:numFmt w:val="lowerLetter"/>
      <w:start w:val="3"/>
    </w:lvl>
  </w:abstractNum>
  <w:abstractNum w:abstractNumId="16">
    <w:nsid w:val="5C482A97"/>
    <w:multiLevelType w:val="hybridMultilevel"/>
    <w:lvl w:ilvl="0">
      <w:lvlJc w:val="left"/>
      <w:lvlText w:val="(%1)"/>
      <w:numFmt w:val="lowerLetter"/>
      <w:start w:val="4"/>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2"/>
    </w:lvl>
  </w:abstractNum>
  <w:abstractNum w:abstractNumId="20">
    <w:nsid w:val="2D517796"/>
    <w:multiLevelType w:val="hybridMultilevel"/>
    <w:lvl w:ilvl="0">
      <w:lvlJc w:val="left"/>
      <w:lvlText w:val="(%1)"/>
      <w:numFmt w:val="decimal"/>
      <w:start w:val="3"/>
    </w:lvl>
  </w:abstractNum>
  <w:abstractNum w:abstractNumId="21">
    <w:nsid w:val="580BD78F"/>
    <w:multiLevelType w:val="hybridMultilevel"/>
    <w:lvl w:ilvl="0">
      <w:lvlJc w:val="left"/>
      <w:lvlText w:val="(%1)"/>
      <w:numFmt w:val="decimal"/>
      <w:start w:val="4"/>
    </w:lvl>
  </w:abstractNum>
  <w:abstractNum w:abstractNumId="22">
    <w:nsid w:val="153EA438"/>
    <w:multiLevelType w:val="hybridMultilevel"/>
    <w:lvl w:ilvl="0">
      <w:lvlJc w:val="left"/>
      <w:lvlText w:val="(%1)"/>
      <w:numFmt w:val="lowerRoman"/>
      <w:start w:val="1"/>
    </w:lvl>
  </w:abstractNum>
  <w:abstractNum w:abstractNumId="23">
    <w:nsid w:val="3855585C"/>
    <w:multiLevelType w:val="hybridMultilevel"/>
    <w:lvl w:ilvl="0">
      <w:lvlJc w:val="left"/>
      <w:lvlText w:val="(%1)"/>
      <w:numFmt w:val="lowerRoman"/>
      <w:start w:val="2"/>
    </w:lvl>
  </w:abstractNum>
  <w:abstractNum w:abstractNumId="24">
    <w:nsid w:val="70A64E2A"/>
    <w:multiLevelType w:val="hybridMultilevel"/>
    <w:lvl w:ilvl="0">
      <w:lvlJc w:val="left"/>
      <w:lvlText w:val="(%1)"/>
      <w:numFmt w:val="lowerRoman"/>
      <w:start w:val="2"/>
    </w:lvl>
  </w:abstractNum>
  <w:abstractNum w:abstractNumId="25">
    <w:nsid w:val="6A2342EC"/>
    <w:multiLevelType w:val="hybridMultilevel"/>
    <w:lvl w:ilvl="0">
      <w:lvlJc w:val="left"/>
      <w:lvlText w:val="(%1)"/>
      <w:numFmt w:val="lowerRoman"/>
      <w:start w:val="3"/>
    </w:lvl>
  </w:abstractNum>
  <w:abstractNum w:abstractNumId="26">
    <w:nsid w:val="2A487CB0"/>
    <w:multiLevelType w:val="hybridMultilevel"/>
    <w:lvl w:ilvl="0">
      <w:lvlJc w:val="left"/>
      <w:lvlText w:val="(%1)"/>
      <w:numFmt w:val="lowerRoman"/>
      <w:start w:val="2"/>
    </w:lvl>
  </w:abstractNum>
  <w:abstractNum w:abstractNumId="27">
    <w:nsid w:val="1D4ED43B"/>
    <w:multiLevelType w:val="hybridMultilevel"/>
    <w:lvl w:ilvl="0">
      <w:lvlJc w:val="left"/>
      <w:lvlText w:val="(%1)"/>
      <w:numFmt w:val="lowerRoman"/>
      <w:start w:val="2"/>
    </w:lvl>
  </w:abstractNum>
  <w:abstractNum w:abstractNumId="28">
    <w:nsid w:val="725A06FB"/>
    <w:multiLevelType w:val="hybridMultilevel"/>
    <w:lvl w:ilvl="0">
      <w:lvlJc w:val="left"/>
      <w:lvlText w:val="(%1)"/>
      <w:numFmt w:val="lowerRoman"/>
      <w:start w:val="6"/>
    </w:lvl>
  </w:abstractNum>
  <w:abstractNum w:abstractNumId="29">
    <w:nsid w:val="2CD89A32"/>
    <w:multiLevelType w:val="hybridMultilevel"/>
    <w:lvl w:ilvl="0">
      <w:lvlJc w:val="left"/>
      <w:lvlText w:val="(%1)"/>
      <w:numFmt w:val="lowerRoman"/>
      <w:start w:val="2"/>
    </w:lvl>
  </w:abstractNum>
  <w:abstractNum w:abstractNumId="30">
    <w:nsid w:val="57E4CCAF"/>
    <w:multiLevelType w:val="hybridMultilevel"/>
    <w:lvl w:ilvl="0">
      <w:lvlJc w:val="left"/>
      <w:lvlText w:val="(%1)"/>
      <w:numFmt w:val="lowerRoman"/>
      <w:start w:val="3"/>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1)"/>
      <w:numFmt w:val="lowerRoman"/>
      <w:start w:val="2"/>
    </w:lvl>
  </w:abstractNum>
  <w:abstractNum w:abstractNumId="37">
    <w:nsid w:val="32FFF902"/>
    <w:multiLevelType w:val="hybridMultilevel"/>
    <w:lvl w:ilvl="0">
      <w:lvlJc w:val="left"/>
      <w:lvlText w:val="(%1)"/>
      <w:numFmt w:val="upperLetter"/>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1">
    <w:nsid w:val="3DC240F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
      <w:numFmt w:val="bullet"/>
      <w:start w:val="1"/>
    </w:lvl>
    <w:lvl w:ilvl="4">
      <w:lvlJc w:val="left"/>
      <w:lvlText w:val="%5."/>
      <w:numFmt w:val="lowerLetter"/>
      <w:start w:val="3"/>
    </w:lvl>
  </w:abstractNum>
  <w:abstractNum w:abstractNumId="42">
    <w:nsid w:val="1BA026F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lvl w:ilvl="3">
      <w:lvlJc w:val="left"/>
      <w:lvlText w:val="§"/>
      <w:numFmt w:val="bullet"/>
      <w:start w:val="1"/>
    </w:lvl>
    <w:lvl w:ilvl="4">
      <w:lvlJc w:val="left"/>
      <w:lvlText w:val="%5"/>
      <w:numFmt w:val="lowerLetter"/>
      <w:start w:val="1"/>
    </w:lvl>
  </w:abstractNum>
  <w:abstractNum w:abstractNumId="43">
    <w:nsid w:val="79A1DEAA"/>
    <w:multiLevelType w:val="hybridMultilevel"/>
    <w:lvl w:ilvl="0">
      <w:lvlJc w:val="left"/>
      <w:lvlText w:val="(%1)"/>
      <w:numFmt w:val="lowerLetter"/>
      <w:start w:val="3"/>
    </w:lvl>
    <w:lvl w:ilvl="1">
      <w:lvlJc w:val="left"/>
      <w:lvlText w:val="(%2)"/>
      <w:numFmt w:val="lowerLetter"/>
      <w:start w:val="7"/>
    </w:lvl>
    <w:lvl w:ilvl="2">
      <w:lvlJc w:val="left"/>
      <w:lvlText w:val="(%3)"/>
      <w:numFmt w:val="decimal"/>
      <w:start w:val="1"/>
    </w:lvl>
    <w:lvl w:ilvl="3">
      <w:lvlJc w:val="left"/>
      <w:lvlText w:val="§"/>
      <w:numFmt w:val="bullet"/>
      <w:start w:val="1"/>
    </w:lvl>
    <w:lvl w:ilvl="4">
      <w:lvlJc w:val="left"/>
      <w:lvlText w:val="%5"/>
      <w:numFmt w:val="lowerLetter"/>
      <w:start w:val="1"/>
    </w:lvl>
  </w:abstractNum>
  <w:abstractNum w:abstractNumId="44">
    <w:nsid w:val="75C6C33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45">
    <w:nsid w:val="12E685FB"/>
    <w:multiLevelType w:val="hybridMultilevel"/>
    <w:lvl w:ilvl="0">
      <w:lvlJc w:val="left"/>
      <w:lvlText w:val="(%1)"/>
      <w:numFmt w:val="lowerLetter"/>
      <w:start w:val="5"/>
    </w:lvl>
    <w:lvl w:ilvl="1">
      <w:lvlJc w:val="left"/>
      <w:lvlText w:val="(%2)"/>
      <w:numFmt w:val="lowerLetter"/>
      <w:start w:val="1"/>
    </w:lvl>
    <w:lvl w:ilvl="2">
      <w:lvlJc w:val="left"/>
      <w:lvlText w:val="%3"/>
      <w:numFmt w:val="decimal"/>
      <w:start w:val="1"/>
    </w:lvl>
  </w:abstractNum>
  <w:abstractNum w:abstractNumId="46">
    <w:nsid w:val="70C6A529"/>
    <w:multiLevelType w:val="hybridMultilevel"/>
    <w:lvl w:ilvl="0">
      <w:lvlJc w:val="left"/>
      <w:lvlText w:val="(%1)"/>
      <w:numFmt w:val="lowerLetter"/>
      <w:start w:val="6"/>
    </w:lvl>
  </w:abstractNum>
  <w:abstractNum w:abstractNumId="47">
    <w:nsid w:val="520EEDD1"/>
    <w:multiLevelType w:val="hybridMultilevel"/>
    <w:lvl w:ilvl="0">
      <w:lvlJc w:val="left"/>
      <w:lvlText w:val="(%1)"/>
      <w:numFmt w:val="lowerLetter"/>
      <w:start w:val="9"/>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3"/>
    </w:lvl>
  </w:abstractNum>
  <w:abstractNum w:abstractNumId="51">
    <w:nsid w:val="649BB77C"/>
    <w:multiLevelType w:val="hybridMultilevel"/>
    <w:lvl w:ilvl="0">
      <w:lvlJc w:val="left"/>
      <w:lvlText w:val="%1."/>
      <w:numFmt w:val="decimal"/>
      <w:start w:val="5"/>
    </w:lvl>
  </w:abstractNum>
  <w:abstractNum w:abstractNumId="52">
    <w:nsid w:val="275AC794"/>
    <w:multiLevelType w:val="hybridMultilevel"/>
    <w:lvl w:ilvl="0">
      <w:lvlJc w:val="left"/>
      <w:lvlText w:val="%1."/>
      <w:numFmt w:val="decimal"/>
      <w:start w:val="10"/>
    </w:lvl>
    <w:lvl w:ilvl="1">
      <w:lvlJc w:val="left"/>
      <w:lvlText w:val="(%2)"/>
      <w:numFmt w:val="lowerLetter"/>
      <w:start w:val="1"/>
    </w:lvl>
  </w:abstractNum>
  <w:abstractNum w:abstractNumId="53">
    <w:nsid w:val="39386575"/>
    <w:multiLevelType w:val="hybridMultilevel"/>
    <w:lvl w:ilvl="0">
      <w:lvlJc w:val="left"/>
      <w:lvlText w:val="(%1)"/>
      <w:numFmt w:val="lowerLetter"/>
      <w:start w:val="4"/>
    </w:lvl>
  </w:abstractNum>
  <w:abstractNum w:abstractNumId="54">
    <w:nsid w:val="1CF10FD8"/>
    <w:multiLevelType w:val="hybridMultilevel"/>
    <w:lvl w:ilvl="0">
      <w:lvlJc w:val="left"/>
      <w:lvlText w:val="%1."/>
      <w:numFmt w:val="decimal"/>
      <w:start w:val="1"/>
    </w:lvl>
    <w:lvl w:ilvl="1">
      <w:lvlJc w:val="left"/>
      <w:lvlText w:val="(%2)"/>
      <w:numFmt w:val="lowerLetter"/>
      <w:start w:val="1"/>
    </w:lvl>
  </w:abstractNum>
  <w:abstractNum w:abstractNumId="55">
    <w:nsid w:val="180115BE"/>
    <w:multiLevelType w:val="hybridMultilevel"/>
    <w:lvl w:ilvl="0">
      <w:lvlJc w:val="left"/>
      <w:lvlText w:val="(%1)"/>
      <w:numFmt w:val="lowerLetter"/>
      <w:start w:val="1"/>
    </w:lvl>
    <w:lvl w:ilvl="1">
      <w:lvlJc w:val="left"/>
      <w:lvlText w:val="(%2)"/>
      <w:numFmt w:val="lowerRoman"/>
      <w:start w:val="1"/>
    </w:lvl>
  </w:abstractNum>
  <w:abstractNum w:abstractNumId="56">
    <w:nsid w:val="235BA861"/>
    <w:multiLevelType w:val="hybridMultilevel"/>
    <w:lvl w:ilvl="0">
      <w:lvlJc w:val="left"/>
      <w:lvlText w:val="(%1)"/>
      <w:numFmt w:val="lowerLetter"/>
      <w:start w:val="7"/>
    </w:lvl>
  </w:abstractNum>
  <w:abstractNum w:abstractNumId="57">
    <w:nsid w:val="47398C89"/>
    <w:multiLevelType w:val="hybridMultilevel"/>
    <w:lvl w:ilvl="0">
      <w:lvlJc w:val="left"/>
      <w:lvlText w:val="%1."/>
      <w:numFmt w:val="decimal"/>
      <w:start w:val="4"/>
    </w:lvl>
    <w:lvl w:ilvl="1">
      <w:lvlJc w:val="left"/>
      <w:lvlText w:val="(%2)"/>
      <w:numFmt w:val="lowerLetter"/>
      <w:start w:val="1"/>
    </w:lvl>
  </w:abstractNum>
  <w:abstractNum w:abstractNumId="58">
    <w:nsid w:val="354FE9F9"/>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jpeg"/><Relationship Id="rId102" Type="http://schemas.openxmlformats.org/officeDocument/2006/relationships/image" Target="media/image77.jpe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74" Type="http://schemas.openxmlformats.org/officeDocument/2006/relationships/hyperlink" Target="https://www.sec.gov/Archives/edgar/data/320017/000114036126024731/ny20068687x1_exa1a.htm" TargetMode="External"/><Relationship Id="rId75" Type="http://schemas.openxmlformats.org/officeDocument/2006/relationships/hyperlink" Target="https://www.sec.gov/Archives/edgar/data/320017/000114036126024731/ny20068687x1_exa1b.htm" TargetMode="External"/><Relationship Id="rId76" Type="http://schemas.openxmlformats.org/officeDocument/2006/relationships/hyperlink" Target="https://www.sec.gov/Archives/edgar/data/320017/000114036126024731/ny20068687x1_exa1c.htm" TargetMode="External"/><Relationship Id="rId77" Type="http://schemas.openxmlformats.org/officeDocument/2006/relationships/hyperlink" Target="https://www.sec.gov/Archives/edgar/data/320017/000114036126024731/ny20068687x1_exa1d.htm" TargetMode="External"/><Relationship Id="rId78" Type="http://schemas.openxmlformats.org/officeDocument/2006/relationships/hyperlink" Target="https://www.sec.gov/Archives/edgar/data/320017/000114036126024731/ny20068687x1_exa1e.htm" TargetMode="External"/><Relationship Id="rId79" Type="http://schemas.openxmlformats.org/officeDocument/2006/relationships/hyperlink" Target="https://www.sec.gov/Archives/edgar/data/320017/000114036126024731/ny20068687x1_exa1f.htm" TargetMode="External"/><Relationship Id="rId80" Type="http://schemas.openxmlformats.org/officeDocument/2006/relationships/hyperlink" Target="https://www.sec.gov/Archives/edgar/data/320017/000032001726000020/ex991pressrelease03062026.htm" TargetMode="External"/><Relationship Id="rId81" Type="http://schemas.openxmlformats.org/officeDocument/2006/relationships/hyperlink" Target="https://www.sec.gov/Archives/edgar/data/320017/000032001726000020/exhibit21-mergeragreemen.htm" TargetMode="External"/><Relationship Id="rId82" Type="http://schemas.openxmlformats.org/officeDocument/2006/relationships/hyperlink" Target="https://www.sec.gov/Archives/edgar/data/320017/000114036126013070/ef20069819_ex99-1.htm" TargetMode="External"/><Relationship Id="rId83" Type="http://schemas.openxmlformats.org/officeDocument/2006/relationships/hyperlink" Target="https://www.sec.gov/Archives/edgar/data/320017/000114036126018651/ef20072320_ex2-1.htm" TargetMode="External"/><Relationship Id="rId84" Type="http://schemas.openxmlformats.org/officeDocument/2006/relationships/hyperlink" Target="https://www.sec.gov/Archives/edgar/data/320017/000114036126023336/ef20075162_ex2-1.htm" TargetMode="External"/><Relationship Id="rId85" Type="http://schemas.openxmlformats.org/officeDocument/2006/relationships/hyperlink" Target="https://www.sec.gov/Archives/edgar/data/320017/000114036126024560/ef20075787_ex2-1.htm" TargetMode="External"/><Relationship Id="rId86" Type="http://schemas.openxmlformats.org/officeDocument/2006/relationships/hyperlink" Target="https://www.sec.gov/Archives/edgar/data/320017/000032001726000006/ex21termsheet-projectlig.htm" TargetMode="External"/><Relationship Id="rId87" Type="http://schemas.openxmlformats.org/officeDocument/2006/relationships/hyperlink" Target="https://www.sec.gov/Archives/edgar/data/320017/000032001726000012/ex101.htm" TargetMode="External"/><Relationship Id="rId88" Type="http://schemas.openxmlformats.org/officeDocument/2006/relationships/hyperlink" Target="https://www.sec.gov/Archives/edgar/data/320017/000032001726000020/exhibit22-formofcvr.htm" TargetMode="External"/><Relationship Id="rId89" Type="http://schemas.openxmlformats.org/officeDocument/2006/relationships/hyperlink" Target="https://www.sec.gov/Archives/edgar/data/320017/000114036126023336/ef20075162_ex10-1.htm" TargetMode="External"/><Relationship Id="rId90" Type="http://schemas.openxmlformats.org/officeDocument/2006/relationships/hyperlink" Target="https://www.sec.gov/Archives/edgar/data/320017/000032001726000020/exhibit23-formofsupporta.htm" TargetMode="External"/><Relationship Id="rId91" Type="http://schemas.openxmlformats.org/officeDocument/2006/relationships/hyperlink" Target="https://www.sec.gov/Archives/edgar/data/320017/000032001723000011/ex105-amendedrestated20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2026-06-10T07:41:28Z</dcterms:created>
  <dcterms:modified xsi:type="dcterms:W3CDTF">2026-06-10T07:41:28Z</dcterms:modified>
</cp:coreProperties>
</file>