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540" w:right="1540" w:hanging="0"/>
        <w:jc w:val="center"/>
        <w:rPr>
          <w:rFonts w:ascii="Times New Roman" w:hAnsi="Times New Roman"/>
          <w:b/>
          <w:color w:val="231F20"/>
          <w:sz w:val="20"/>
          <w:shd w:fill="FFFFFF" w:val="clear"/>
        </w:rPr>
      </w:pPr>
      <w:r>
        <w:rPr>
          <w:rFonts w:ascii="Times New Roman" w:hAnsi="Times New Roman"/>
          <w:b/>
          <w:color w:val="231F20"/>
          <w:sz w:val="20"/>
          <w:shd w:fill="FFFFFF" w:val="clear"/>
        </w:rPr>
        <w:t>CURRENT REPORT</w:t>
      </w:r>
    </w:p>
    <w:p>
      <w:pPr>
        <w:pStyle w:val="TextBody"/>
        <w:bidi w:val="0"/>
        <w:spacing w:before="0" w:after="0"/>
        <w:jc w:val="center"/>
        <w:rPr>
          <w:rFonts w:ascii="Times New Roman" w:hAnsi="Times New Roman"/>
          <w:b/>
          <w:color w:val="231F20"/>
          <w:sz w:val="20"/>
          <w:shd w:fill="FFFFFF" w:val="clear"/>
        </w:rPr>
      </w:pPr>
      <w:r>
        <w:rPr>
          <w:rFonts w:ascii="Times New Roman" w:hAnsi="Times New Roman"/>
          <w:b/>
          <w:color w:val="231F2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13,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LISATA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9987" w:type="dxa"/>
        <w:jc w:val="left"/>
        <w:tblInd w:w="0" w:type="dxa"/>
        <w:tblLayout w:type="fixed"/>
        <w:tblCellMar>
          <w:top w:w="0" w:type="dxa"/>
          <w:left w:w="0" w:type="dxa"/>
          <w:bottom w:w="0" w:type="dxa"/>
          <w:right w:w="0" w:type="dxa"/>
        </w:tblCellMar>
      </w:tblPr>
      <w:tblGrid>
        <w:gridCol w:w="4870"/>
        <w:gridCol w:w="2212"/>
        <w:gridCol w:w="2905"/>
      </w:tblGrid>
      <w:tr>
        <w:trPr/>
        <w:tc>
          <w:tcPr>
            <w:tcW w:w="4870" w:type="dxa"/>
            <w:tcBorders/>
            <w:vAlign w:val="center"/>
          </w:tcPr>
          <w:p>
            <w:pPr>
              <w:pStyle w:val="TableContents"/>
              <w:bidi w:val="0"/>
              <w:spacing w:before="0" w:after="0"/>
              <w:ind w:left="2" w:right="2" w:hanging="0"/>
              <w:jc w:val="center"/>
              <w:rPr>
                <w:rFonts w:ascii="Times New Roman" w:hAnsi="Times New Roman"/>
                <w:b/>
                <w:color w:val="000000"/>
                <w:sz w:val="20"/>
              </w:rPr>
            </w:pPr>
            <w:r>
              <w:rPr>
                <w:rFonts w:ascii="Times New Roman" w:hAnsi="Times New Roman"/>
                <w:b/>
                <w:color w:val="000000"/>
                <w:sz w:val="20"/>
              </w:rPr>
              <w:t>Delaware</w:t>
            </w:r>
          </w:p>
        </w:tc>
        <w:tc>
          <w:tcPr>
            <w:tcW w:w="2212"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001-33650</w:t>
            </w:r>
          </w:p>
        </w:tc>
        <w:tc>
          <w:tcPr>
            <w:tcW w:w="2905" w:type="dxa"/>
            <w:tcBorders/>
            <w:vAlign w:val="center"/>
          </w:tcPr>
          <w:p>
            <w:pPr>
              <w:pStyle w:val="TableContents"/>
              <w:bidi w:val="0"/>
              <w:spacing w:before="0" w:after="0"/>
              <w:ind w:left="2" w:right="2" w:hanging="0"/>
              <w:jc w:val="center"/>
              <w:rPr>
                <w:rFonts w:ascii="Times New Roman" w:hAnsi="Times New Roman"/>
                <w:b/>
                <w:color w:val="000000"/>
                <w:sz w:val="20"/>
              </w:rPr>
            </w:pPr>
            <w:r>
              <w:rPr>
                <w:rFonts w:ascii="Times New Roman" w:hAnsi="Times New Roman"/>
                <w:b/>
                <w:color w:val="000000"/>
                <w:sz w:val="20"/>
              </w:rPr>
              <w:t>22-2343568</w:t>
            </w:r>
          </w:p>
        </w:tc>
      </w:tr>
      <w:tr>
        <w:trPr/>
        <w:tc>
          <w:tcPr>
            <w:tcW w:w="4870"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2" w:type="dxa"/>
            <w:tcBorders/>
            <w:vAlign w:val="center"/>
          </w:tcPr>
          <w:p>
            <w:pPr>
              <w:pStyle w:val="TableContents"/>
              <w:bidi w:val="0"/>
              <w:spacing w:before="0" w:after="0"/>
              <w:ind w:left="2" w:right="2" w:hanging="0"/>
              <w:jc w:val="center"/>
              <w:rPr>
                <w:rFonts w:ascii="Times New Roman" w:hAnsi="Times New Roman"/>
                <w:color w:val="000000"/>
                <w:sz w:val="20"/>
              </w:rPr>
            </w:pPr>
            <w:r>
              <w:rPr>
                <w:rFonts w:ascii="Times New Roman" w:hAnsi="Times New Roman"/>
                <w:color w:val="000000"/>
                <w:sz w:val="20"/>
              </w:rPr>
              <w:t>(Commission File Number)</w:t>
            </w:r>
          </w:p>
        </w:tc>
        <w:tc>
          <w:tcPr>
            <w:tcW w:w="2905"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P.O. Box 173 Liberty Corner, NJ 07938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Offices)(ZipCode)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(908) 842-0100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rFonts w:ascii="Times New Roman" w:hAnsi="Times New Roman"/>
          <w:sz w:val="20"/>
        </w:rPr>
      </w:pPr>
      <w:r>
        <w:rPr>
          <w:rFonts w:ascii="Times New Roman" w:hAnsi="Times New Roman"/>
          <w:sz w:val="20"/>
        </w:rPr>
      </w:r>
    </w:p>
    <w:tbl>
      <w:tblPr>
        <w:tblW w:w="7545" w:type="dxa"/>
        <w:jc w:val="left"/>
        <w:tblInd w:w="0" w:type="dxa"/>
        <w:tblLayout w:type="fixed"/>
        <w:tblCellMar>
          <w:top w:w="0" w:type="dxa"/>
          <w:left w:w="0" w:type="dxa"/>
          <w:bottom w:w="0" w:type="dxa"/>
          <w:right w:w="0" w:type="dxa"/>
        </w:tblCellMar>
      </w:tblPr>
      <w:tblGrid>
        <w:gridCol w:w="245"/>
        <w:gridCol w:w="7300"/>
      </w:tblGrid>
      <w:tr>
        <w:trPr/>
        <w:tc>
          <w:tcPr>
            <w:tcW w:w="245" w:type="dxa"/>
            <w:tcBorders/>
            <w:vAlign w:val="center"/>
          </w:tcPr>
          <w:p>
            <w:pPr>
              <w:pStyle w:val="TableContents"/>
              <w:bidi w:val="0"/>
              <w:spacing w:before="0" w:after="0"/>
              <w:jc w:val="left"/>
              <w:rPr>
                <w:color w:val="000000"/>
              </w:rPr>
            </w:pPr>
            <w:r>
              <w:rPr>
                <w:color w:val="000000"/>
              </w:rPr>
              <w:t>☐</w:t>
            </w:r>
          </w:p>
        </w:tc>
        <w:tc>
          <w:tcPr>
            <w:tcW w:w="7300" w:type="dxa"/>
            <w:tcBorders/>
            <w:vAlign w:val="center"/>
          </w:tcPr>
          <w:p>
            <w:pPr>
              <w:pStyle w:val="TableContents"/>
              <w:bidi w:val="0"/>
              <w:spacing w:before="0" w:after="0"/>
              <w:ind w:left="0" w:right="5" w:hanging="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80" w:type="dxa"/>
        <w:jc w:val="left"/>
        <w:tblInd w:w="0" w:type="dxa"/>
        <w:tblLayout w:type="fixed"/>
        <w:tblCellMar>
          <w:top w:w="0" w:type="dxa"/>
          <w:left w:w="0" w:type="dxa"/>
          <w:bottom w:w="0" w:type="dxa"/>
          <w:right w:w="0" w:type="dxa"/>
        </w:tblCellMar>
      </w:tblPr>
      <w:tblGrid>
        <w:gridCol w:w="250"/>
        <w:gridCol w:w="7330"/>
      </w:tblGrid>
      <w:tr>
        <w:trPr/>
        <w:tc>
          <w:tcPr>
            <w:tcW w:w="250" w:type="dxa"/>
            <w:tcBorders/>
            <w:vAlign w:val="center"/>
          </w:tcPr>
          <w:p>
            <w:pPr>
              <w:pStyle w:val="TableContents"/>
              <w:bidi w:val="0"/>
              <w:spacing w:before="0" w:after="0"/>
              <w:ind w:left="0" w:right="5" w:hanging="0"/>
              <w:jc w:val="left"/>
              <w:rPr>
                <w:color w:val="000000"/>
              </w:rPr>
            </w:pPr>
            <w:r>
              <w:rPr>
                <w:color w:val="000000"/>
              </w:rPr>
              <w:t>☐</w:t>
            </w:r>
          </w:p>
        </w:tc>
        <w:tc>
          <w:tcPr>
            <w:tcW w:w="733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20" w:type="dxa"/>
        <w:jc w:val="left"/>
        <w:tblInd w:w="0" w:type="dxa"/>
        <w:tblLayout w:type="fixed"/>
        <w:tblCellMar>
          <w:top w:w="0" w:type="dxa"/>
          <w:left w:w="0" w:type="dxa"/>
          <w:bottom w:w="0" w:type="dxa"/>
          <w:right w:w="0" w:type="dxa"/>
        </w:tblCellMar>
      </w:tblPr>
      <w:tblGrid>
        <w:gridCol w:w="250"/>
        <w:gridCol w:w="9070"/>
      </w:tblGrid>
      <w:tr>
        <w:trPr/>
        <w:tc>
          <w:tcPr>
            <w:tcW w:w="250" w:type="dxa"/>
            <w:tcBorders/>
            <w:vAlign w:val="center"/>
          </w:tcPr>
          <w:p>
            <w:pPr>
              <w:pStyle w:val="TableContents"/>
              <w:bidi w:val="0"/>
              <w:spacing w:before="0" w:after="0"/>
              <w:ind w:left="0" w:right="5" w:hanging="0"/>
              <w:jc w:val="left"/>
              <w:rPr>
                <w:color w:val="000000"/>
              </w:rPr>
            </w:pPr>
            <w:r>
              <w:rPr>
                <w:color w:val="000000"/>
              </w:rPr>
              <w:t>☐</w:t>
            </w:r>
          </w:p>
        </w:tc>
        <w:tc>
          <w:tcPr>
            <w:tcW w:w="907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5" w:type="dxa"/>
        <w:jc w:val="left"/>
        <w:tblInd w:w="0" w:type="dxa"/>
        <w:tblLayout w:type="fixed"/>
        <w:tblCellMar>
          <w:top w:w="0" w:type="dxa"/>
          <w:left w:w="0" w:type="dxa"/>
          <w:bottom w:w="0" w:type="dxa"/>
          <w:right w:w="0" w:type="dxa"/>
        </w:tblCellMar>
      </w:tblPr>
      <w:tblGrid>
        <w:gridCol w:w="245"/>
        <w:gridCol w:w="9010"/>
      </w:tblGrid>
      <w:tr>
        <w:trPr/>
        <w:tc>
          <w:tcPr>
            <w:tcW w:w="245" w:type="dxa"/>
            <w:tcBorders/>
            <w:vAlign w:val="center"/>
          </w:tcPr>
          <w:p>
            <w:pPr>
              <w:pStyle w:val="TableContents"/>
              <w:bidi w:val="0"/>
              <w:spacing w:before="0" w:after="0"/>
              <w:jc w:val="left"/>
              <w:rPr>
                <w:color w:val="000000"/>
              </w:rPr>
            </w:pPr>
            <w:r>
              <w:rPr>
                <w:color w:val="000000"/>
              </w:rPr>
              <w:t>☐</w:t>
            </w:r>
          </w:p>
        </w:tc>
        <w:tc>
          <w:tcPr>
            <w:tcW w:w="901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770" w:type="dxa"/>
        <w:jc w:val="left"/>
        <w:tblInd w:w="-15" w:type="dxa"/>
        <w:tblLayout w:type="fixed"/>
        <w:tblCellMar>
          <w:top w:w="28" w:type="dxa"/>
          <w:left w:w="28" w:type="dxa"/>
          <w:bottom w:w="28" w:type="dxa"/>
          <w:right w:w="0" w:type="dxa"/>
        </w:tblCellMar>
      </w:tblPr>
      <w:tblGrid>
        <w:gridCol w:w="3500"/>
        <w:gridCol w:w="1535"/>
        <w:gridCol w:w="2735"/>
      </w:tblGrid>
      <w:tr>
        <w:trPr/>
        <w:tc>
          <w:tcPr>
            <w:tcW w:w="350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3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50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$0.001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LSTA</w:t>
            </w:r>
          </w:p>
        </w:tc>
        <w:tc>
          <w:tcPr>
            <w:tcW w:w="273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w:t>
      </w:r>
      <w:r>
        <w:rPr>
          <w:color w:val="231F20"/>
          <w:shd w:fill="FFFFFF" w:val="clear"/>
        </w:rPr>
        <w:t xml:space="preserve"> </w:t>
      </w:r>
      <w:r>
        <w:rPr>
          <w:rFonts w:ascii="Times New Roman" w:hAnsi="Times New Roman"/>
          <w:color w:val="231F20"/>
          <w:sz w:val="20"/>
          <w:shd w:fill="FFFFFF" w:val="clear"/>
        </w:rPr>
        <w:t>Emerging growth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(d) On October 13, 2026, upon the recommendation of the Nominating and Corporate Governance Committee, the Board of Directors (the “Board”) of Lisata Therapeutics, Inc. (the “Company”) approved an increase in the size of the Board from seven to eight members and appointed Jeffrey Farrow as a Class III member of the Board to fill the newly created seat effective immediately, with an initial term expiring at the Company’s 2028 annual meeting of stockholders. The Board also appointed Mr. Farrow as a member of the Audit Committee.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Jeffrey Farrow (Age 65) has served as Chief Financial Officer and Chief Strategy Officer of Tarsus Pharmaceuticals, Inc. (Nasdaq: TARS), a commercial stage biopharmaceutical company focused on the development and commercialization of therapeutics in eye care and beyond, since April 2023. Mr. Farrow has also served as a director of Clover Biopharmaceuticals, Ltd., a development stage biotechnology company listed on the Hong Kong Stock Exchange, since September 2021 and a director, chairperson of the audit committee and member of the nominating and corporate governance committee of Achieve Life Sciences, Inc. (Nasdaq: ACHV), a late stage specialty pharmaceutical company, since May 2026. Mr. Farrow previously served as Chief Financial Officer of Global Blood Therapeutics, Inc. (formerly Nasdaq: GBT), a biopharmaceutical company, from April 2016 until December 2022 when it was acquired by Pfizer Inc.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 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Company believes that Mr. Farrow is qualified to serve on our board of directors based on his experience as a principal financial officer at and as a board member of multiple publicly traded companies in the biopharmaceutical industry, as well as his prior experience in finance and accounting.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Mr. Farrow has entered into the Company’s standard form of indemnification agreement, a copy of which was filed as Exhibit 10.2 to the Company’s Current Report on Form 8-K, filed with the SEC on September 15,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Mr. Farrow has no family relationships with any of the executive officers or directors of the Company. There are no arrangements or understandings between Mr. Farrow and any other person pursuant to which he was selected as a member of the Board. The Company is not aware of any transaction in which Mr. Farrow has an interest requiring disclosure under Item 404(a) of Regulation S-K promulgated under the Securities Act of 1933, as amended. The Board has determined that Mr. Farrow is an independent director in accordance with the listing requirements of the Nasdaq Capital Market. On October 14, 2026, the Company issued a press release announcing the appointment of Mr. Farrow to the Board. A copy of this press release is filed as Exhibit 99.1 to this current report.</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7143" w:type="dxa"/>
        <w:jc w:val="left"/>
        <w:tblInd w:w="0" w:type="dxa"/>
        <w:tblLayout w:type="fixed"/>
        <w:tblCellMar>
          <w:top w:w="0" w:type="dxa"/>
          <w:left w:w="0" w:type="dxa"/>
          <w:bottom w:w="28" w:type="dxa"/>
          <w:right w:w="0" w:type="dxa"/>
        </w:tblCellMar>
      </w:tblPr>
      <w:tblGrid>
        <w:gridCol w:w="650"/>
        <w:gridCol w:w="23"/>
        <w:gridCol w:w="6470"/>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p>
            <w:pPr>
              <w:pStyle w:val="TableContents"/>
              <w:bidi w:val="0"/>
              <w:spacing w:before="0" w:after="0"/>
              <w:jc w:val="center"/>
              <w:rPr>
                <w:rFonts w:ascii="Times New Roman" w:hAnsi="Times New Roman"/>
                <w:b/>
                <w:sz w:val="20"/>
              </w:rPr>
            </w:pPr>
            <w:r>
              <w:rPr>
                <w:rFonts w:ascii="Times New Roman" w:hAnsi="Times New Roman"/>
                <w:b/>
                <w:sz w:val="20"/>
              </w:rPr>
              <w:t>No.</w:t>
            </w:r>
          </w:p>
        </w:tc>
        <w:tc>
          <w:tcPr>
            <w:tcW w:w="23" w:type="dxa"/>
            <w:tcBorders/>
            <w:tcMar>
              <w:bottom w:w="0" w:type="dxa"/>
            </w:tcMar>
            <w:vAlign w:val="center"/>
          </w:tcPr>
          <w:p>
            <w:pPr>
              <w:pStyle w:val="TableContents"/>
              <w:bidi w:val="0"/>
              <w:spacing w:before="0" w:after="283"/>
              <w:jc w:val="left"/>
              <w:rPr/>
            </w:pPr>
            <w:r>
              <w:rPr/>
            </w:r>
          </w:p>
        </w:tc>
        <w:tc>
          <w:tcPr>
            <w:tcW w:w="647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470" w:type="dxa"/>
            <w:tcBorders/>
            <w:tcMar>
              <w:bottom w:w="0" w:type="dxa"/>
            </w:tcMar>
            <w:vAlign w:val="center"/>
          </w:tcPr>
          <w:p>
            <w:pPr>
              <w:pStyle w:val="TableContents"/>
              <w:bidi w:val="0"/>
              <w:spacing w:before="0" w:after="283"/>
              <w:jc w:val="left"/>
              <w:rPr/>
            </w:pPr>
            <w:r>
              <w:rPr/>
            </w:r>
          </w:p>
        </w:tc>
      </w:tr>
      <w:tr>
        <w:trPr/>
        <w:tc>
          <w:tcPr>
            <w:tcW w:w="650" w:type="dxa"/>
            <w:tcBorders/>
            <w:tcMar>
              <w:bottom w:w="0" w:type="dxa"/>
            </w:tcMar>
            <w:vAlign w:val="center"/>
          </w:tcPr>
          <w:p>
            <w:pPr>
              <w:pStyle w:val="TableContents"/>
              <w:bidi w:val="0"/>
              <w:spacing w:before="0" w:after="0"/>
              <w:jc w:val="left"/>
              <w:rPr/>
            </w:pPr>
            <w:hyperlink w:anchor="ef20083796_ex99-1.htm">
              <w:r>
                <w:rPr>
                  <w:rStyle w:val="InternetLink"/>
                  <w:rFonts w:ascii="Times New Roman" w:hAnsi="Times New Roman"/>
                  <w:sz w:val="20"/>
                </w:rPr>
                <w:t>99.1</w:t>
              </w:r>
            </w:hyperlink>
          </w:p>
        </w:tc>
        <w:tc>
          <w:tcPr>
            <w:tcW w:w="23" w:type="dxa"/>
            <w:tcBorders/>
            <w:tcMar>
              <w:bottom w:w="0" w:type="dxa"/>
            </w:tcMar>
            <w:vAlign w:val="center"/>
          </w:tcPr>
          <w:p>
            <w:pPr>
              <w:pStyle w:val="TableContents"/>
              <w:bidi w:val="0"/>
              <w:spacing w:before="0" w:after="283"/>
              <w:jc w:val="left"/>
              <w:rPr/>
            </w:pPr>
            <w:r>
              <w:rPr/>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October 14, 2026</w:t>
            </w:r>
          </w:p>
        </w:tc>
      </w:tr>
      <w:tr>
        <w:trPr/>
        <w:tc>
          <w:tcPr>
            <w:tcW w:w="650" w:type="dxa"/>
            <w:tcBorders/>
            <w:tcMar>
              <w:bottom w:w="0" w:type="dxa"/>
            </w:tcMar>
            <w:vAlign w:val="center"/>
          </w:tcPr>
          <w:p>
            <w:pPr>
              <w:pStyle w:val="TableContents"/>
              <w:bidi w:val="0"/>
              <w:spacing w:before="0" w:after="283"/>
              <w:jc w:val="left"/>
              <w:rPr/>
            </w:pPr>
            <w:r>
              <w:rPr/>
            </w:r>
          </w:p>
        </w:tc>
        <w:tc>
          <w:tcPr>
            <w:tcW w:w="23" w:type="dxa"/>
            <w:tcBorders/>
            <w:tcMar>
              <w:bottom w:w="0" w:type="dxa"/>
            </w:tcMar>
            <w:vAlign w:val="center"/>
          </w:tcPr>
          <w:p>
            <w:pPr>
              <w:pStyle w:val="TableContents"/>
              <w:bidi w:val="0"/>
              <w:spacing w:before="0" w:after="283"/>
              <w:jc w:val="left"/>
              <w:rPr/>
            </w:pPr>
            <w:r>
              <w:rPr/>
            </w:r>
          </w:p>
        </w:tc>
        <w:tc>
          <w:tcPr>
            <w:tcW w:w="6470" w:type="dxa"/>
            <w:tcBorders/>
            <w:tcMar>
              <w:bottom w:w="0" w:type="dxa"/>
            </w:tcMar>
            <w:vAlign w:val="center"/>
          </w:tcPr>
          <w:p>
            <w:pPr>
              <w:pStyle w:val="TableContents"/>
              <w:bidi w:val="0"/>
              <w:spacing w:before="0" w:after="283"/>
              <w:jc w:val="left"/>
              <w:rPr/>
            </w:pPr>
            <w:r>
              <w:rPr/>
            </w:r>
          </w:p>
        </w:tc>
      </w:tr>
      <w:tr>
        <w:trPr/>
        <w:tc>
          <w:tcPr>
            <w:tcW w:w="65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23" w:type="dxa"/>
            <w:tcBorders/>
            <w:tcMar>
              <w:bottom w:w="0" w:type="dxa"/>
            </w:tcMar>
            <w:vAlign w:val="center"/>
          </w:tcPr>
          <w:p>
            <w:pPr>
              <w:pStyle w:val="TableContents"/>
              <w:bidi w:val="0"/>
              <w:spacing w:before="0" w:after="283"/>
              <w:jc w:val="left"/>
              <w:rPr/>
            </w:pPr>
            <w:r>
              <w:rPr/>
            </w:r>
          </w:p>
        </w:tc>
        <w:tc>
          <w:tcPr>
            <w:tcW w:w="647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ind w:left="0" w:right="0" w:firstLine="45"/>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5"/>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854" w:type="dxa"/>
        <w:jc w:val="left"/>
        <w:tblInd w:w="0" w:type="dxa"/>
        <w:tblLayout w:type="fixed"/>
        <w:tblCellMar>
          <w:top w:w="0" w:type="dxa"/>
          <w:left w:w="0" w:type="dxa"/>
          <w:bottom w:w="0" w:type="dxa"/>
          <w:right w:w="0" w:type="dxa"/>
        </w:tblCellMar>
      </w:tblPr>
      <w:tblGrid>
        <w:gridCol w:w="2060"/>
        <w:gridCol w:w="419"/>
        <w:gridCol w:w="2345"/>
        <w:gridCol w:w="30"/>
      </w:tblGrid>
      <w:tr>
        <w:trPr/>
        <w:tc>
          <w:tcPr>
            <w:tcW w:w="2060" w:type="dxa"/>
            <w:tcBorders/>
            <w:vAlign w:val="center"/>
          </w:tcPr>
          <w:p>
            <w:pPr>
              <w:pStyle w:val="TableContents"/>
              <w:bidi w:val="0"/>
              <w:spacing w:before="0" w:after="283"/>
              <w:jc w:val="left"/>
              <w:rPr/>
            </w:pPr>
            <w:r>
              <w:rPr/>
            </w:r>
          </w:p>
        </w:tc>
        <w:tc>
          <w:tcPr>
            <w:tcW w:w="279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LISATA THERAPEUTICS, INC.</w:t>
            </w:r>
          </w:p>
        </w:tc>
      </w:tr>
      <w:tr>
        <w:trPr/>
        <w:tc>
          <w:tcPr>
            <w:tcW w:w="2060" w:type="dxa"/>
            <w:tcBorders/>
            <w:vAlign w:val="center"/>
          </w:tcPr>
          <w:p>
            <w:pPr>
              <w:pStyle w:val="TableContents"/>
              <w:bidi w:val="0"/>
              <w:spacing w:before="0" w:after="283"/>
              <w:jc w:val="left"/>
              <w:rPr/>
            </w:pPr>
            <w:r>
              <w:rPr/>
              <w:t> </w:t>
            </w:r>
          </w:p>
        </w:tc>
        <w:tc>
          <w:tcPr>
            <w:tcW w:w="2794" w:type="dxa"/>
            <w:gridSpan w:val="3"/>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r>
          </w:p>
        </w:tc>
        <w:tc>
          <w:tcPr>
            <w:tcW w:w="41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45" w:type="dxa"/>
            <w:tcBorders>
              <w:bottom w:val="single" w:sz="12" w:space="0" w:color="000000"/>
            </w:tcBorders>
            <w:tcMar>
              <w:bottom w:w="28" w:type="dxa"/>
            </w:tcMar>
            <w:vAlign w:val="center"/>
          </w:tcPr>
          <w:p>
            <w:pPr>
              <w:pStyle w:val="TableContents"/>
              <w:bidi w:val="0"/>
              <w:spacing w:before="0" w:after="283"/>
              <w:jc w:val="left"/>
              <w:rPr/>
            </w:pPr>
            <w:r>
              <w:rPr/>
              <w:t>/s/ David J. Mazzo</w:t>
            </w:r>
          </w:p>
        </w:tc>
        <w:tc>
          <w:tcPr>
            <w:tcW w:w="30" w:type="dxa"/>
            <w:tcBorders/>
            <w:vAlign w:val="center"/>
          </w:tcPr>
          <w:p>
            <w:pPr>
              <w:pStyle w:val="TableContents"/>
              <w:bidi w:val="0"/>
              <w:spacing w:before="0" w:after="283"/>
              <w:jc w:val="left"/>
              <w:rPr/>
            </w:pPr>
            <w:r>
              <w:rPr/>
            </w:r>
          </w:p>
        </w:tc>
      </w:tr>
      <w:tr>
        <w:trPr/>
        <w:tc>
          <w:tcPr>
            <w:tcW w:w="2060" w:type="dxa"/>
            <w:tcBorders/>
            <w:vAlign w:val="center"/>
          </w:tcPr>
          <w:p>
            <w:pPr>
              <w:pStyle w:val="TableContents"/>
              <w:bidi w:val="0"/>
              <w:spacing w:before="0" w:after="283"/>
              <w:jc w:val="left"/>
              <w:rPr/>
            </w:pPr>
            <w:r>
              <w:rPr/>
            </w:r>
          </w:p>
        </w:tc>
        <w:tc>
          <w:tcPr>
            <w:tcW w:w="279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David J. Mazzo, PhD</w:t>
            </w:r>
          </w:p>
        </w:tc>
      </w:tr>
      <w:tr>
        <w:trPr/>
        <w:tc>
          <w:tcPr>
            <w:tcW w:w="2060" w:type="dxa"/>
            <w:tcBorders/>
            <w:vAlign w:val="center"/>
          </w:tcPr>
          <w:p>
            <w:pPr>
              <w:pStyle w:val="TableContents"/>
              <w:bidi w:val="0"/>
              <w:spacing w:before="0" w:after="283"/>
              <w:jc w:val="left"/>
              <w:rPr/>
            </w:pPr>
            <w:r>
              <w:rPr/>
            </w:r>
          </w:p>
        </w:tc>
        <w:tc>
          <w:tcPr>
            <w:tcW w:w="279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Chief Executive Officer</w:t>
            </w:r>
          </w:p>
        </w:tc>
      </w:tr>
      <w:tr>
        <w:trPr/>
        <w:tc>
          <w:tcPr>
            <w:tcW w:w="2060" w:type="dxa"/>
            <w:tcBorders/>
            <w:vAlign w:val="center"/>
          </w:tcPr>
          <w:p>
            <w:pPr>
              <w:pStyle w:val="TableContents"/>
              <w:bidi w:val="0"/>
              <w:spacing w:before="0" w:after="0"/>
              <w:ind w:left="0" w:right="0" w:firstLine="45"/>
              <w:jc w:val="left"/>
              <w:rPr>
                <w:rFonts w:ascii="Times New Roman" w:hAnsi="Times New Roman"/>
                <w:color w:val="000000"/>
                <w:sz w:val="20"/>
              </w:rPr>
            </w:pPr>
            <w:r>
              <w:rPr>
                <w:rFonts w:ascii="Times New Roman" w:hAnsi="Times New Roman"/>
                <w:color w:val="000000"/>
                <w:sz w:val="20"/>
              </w:rPr>
              <w:t>Dated: October 14, 2026</w:t>
            </w:r>
          </w:p>
        </w:tc>
        <w:tc>
          <w:tcPr>
            <w:tcW w:w="2794" w:type="dxa"/>
            <w:gridSpan w:val="3"/>
            <w:tcBorders/>
            <w:vAlign w:val="center"/>
          </w:tcPr>
          <w:p>
            <w:pPr>
              <w:pStyle w:val="TableContents"/>
              <w:bidi w:val="0"/>
              <w:spacing w:before="0" w:after="283"/>
              <w:jc w:val="left"/>
              <w:rPr/>
            </w:pPr>
            <w:r>
              <w:rPr/>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3796_ex99-1.htm"/>
      <w:bookmarkStart w:id="1" w:name="ksef20083796_ex991"/>
      <w:bookmarkStart w:id="2" w:name="ef20083796_ex99-1.htm"/>
      <w:bookmarkStart w:id="3" w:name="ksef20083796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Appoints Jeff Farrow to Board of Directors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Veteran biopharma CFO brings more than 15 years of public-company financial leadership across development, approval and commercial launch; joins Audit Committee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Liberty Corner, N.J., October 14, 2026</w:t>
      </w:r>
      <w:r>
        <w:rPr>
          <w:rFonts w:ascii="Times New Roman" w:hAnsi="Times New Roman"/>
          <w:color w:val="000000"/>
          <w:sz w:val="20"/>
        </w:rPr>
        <w:t xml:space="preserve"> - Lisata Therapeutics, Inc. (Nasdaq: LSTA) (“Lisata” or the “Company”) today announced the appointment of Jeffrey Farrow to its Board of Directors, effective October 13,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Farrow fills a newly created seat, expanding the Board from seven to eight members. He was appointed as a Class III director upon the recommendation of the Nominating and Corporate Governance Committee and will also serve on the Audit Committee. The Board has determined that Mr. Farrow is independent under Nasdaq listing rules.</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Jeff has helped take multiple companies from the clinic to approval and commercial launch, and he has led several of them through successful strategic outcomes,” said David Mazzo, Chief Executive Officer of Lisata. “As we advance our Phase 2b programs in severe hypertriglyceridemia and acromegaly, his financial discipline and public-company experience will be a tremendous asset to our Board.”</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I’m pleased to join Lisata’s Board at an important point in the Company’s development,” said Mr. Farrow. “I look forward to working with the Board and management team to help build long-term value for patients and stockholders.”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Farrow currently serves as Chief Financial Officer and Chief Strategy Officer of Tarsus Pharmaceuticals, Inc. (Nasdaq: TARS), a commercial-stage eye care company, a role he has held since April 2023. He is also a director of Clover Biopharmaceuticals, Ltd. (HKEX) and of Achieve Life Sciences, Inc. (Nasdaq: ACHV), where he chairs the audit committee and sits on the nominating and corporate governance committee. From 2016 to 2022, Mr. Farrow was Chief Financial Officer of Global Blood Therapeutics, Inc. through the company’s acquisition by Pfizer Inc. He previously served as CFO of ZS Pharma, Inc. through its acquisition by AstraZeneca in 2015, and as CFO of Hyperion Therapeutics, Inc. from 2010 until its acquisition by Horizon Therapeutics in 2015. Earlier, Mr. Farrow held finance leadership roles at Evotec AG and at Renovis, Inc., where he was vice president of finance and chief accounting officer. He began his career with seven years in the audit practice of KPMG LLP. Mr. Farrow holds a B.A. in business administration with a concentration in corporate finance from California State University, Fullerton, and is a certified public accountant (inactive).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Lisata Therapeutics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Lisata Therapeutics is a clinical-stage pharmaceutical company. Following its acquisition of Marea Therapeutics, Lisata’s lead product candidate is MAR001, which is in Phase 2b clinical development for the treatment of severe hypertriglyceridemia (sHTG), a condition characterized by very high triglyceride levels. The Company is also advancing MAR002 for the treatment of acromegaly. Lisata’s cyclic peptide product candidate, </w:t>
      </w:r>
      <w:r>
        <w:rPr>
          <w:rFonts w:ascii="Times New Roman" w:hAnsi="Times New Roman"/>
          <w:color w:val="000000"/>
          <w:sz w:val="20"/>
          <w:u w:val="single"/>
        </w:rPr>
        <w:t>certepetide</w:t>
      </w:r>
      <w:r>
        <w:rPr>
          <w:rFonts w:ascii="Times New Roman" w:hAnsi="Times New Roman"/>
          <w:color w:val="000000"/>
          <w:sz w:val="20"/>
        </w:rPr>
        <w:t xml:space="preserve">, is an investigational drug designed to activate a novel uptake pathway that allows co-administered or tethered anti-cancer drugs to selectively target and penetrate solid tumors more effectively. For more information on the Company, please visit </w:t>
      </w:r>
      <w:r>
        <w:rPr>
          <w:rFonts w:ascii="Times New Roman" w:hAnsi="Times New Roman"/>
          <w:color w:val="000000"/>
          <w:sz w:val="20"/>
          <w:u w:val="single"/>
        </w:rPr>
        <w:t>www.lisata.com</w:t>
      </w:r>
      <w:r>
        <w:rPr>
          <w:rFonts w:ascii="Times New Roman" w:hAnsi="Times New Roman"/>
          <w:color w:val="000000"/>
          <w:sz w:val="20"/>
        </w:rPr>
        <w: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This press release contains forward-looking statements within the meaning of the Private Securities Litigation Reform Act of 1995, including statements regarding the anticipated contributions of Mr. Farrow to the Board and the advancement of the Company’s clinical programs. Words such as “expect,” “anticipate,” “plan,” “look forward” and similar expressions identify such statements. These statements are based on management’s current expectations and are subject to risks and uncertainties that could cause actual results to differ materially, including those described under “Risk Factors” in the Company’s filings with the Securities and Exchange Commission. Forward-looking statements speak only as of the date of this release, and the Company undertakes no obligation to update them except as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Lisata: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 and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John Menditto</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jmenditto@lisata.com</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1617</Words>
  <Characters>9017</Characters>
  <CharactersWithSpaces>10567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