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7863_sc14d9a.htm"/>
      <w:bookmarkStart w:id="1" w:name="ksef20077863_sc14d9a"/>
      <w:bookmarkStart w:id="2" w:name="ef20077863_sc14d9a.htm"/>
      <w:bookmarkStart w:id="3" w:name="ksef20077863_sc14d9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14D-9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14d-101)</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Solicitation/Recommendation Statement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Section 14(d)(4) of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2)</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 Filing Statement)</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128058302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J. Mazzo, Ph.D.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 Box 173, Liberty Corner,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Jersey 07938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(908) 841-0100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Behalf of the Person Filing Statement)</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With copies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Jeffrey P. Schultz,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Mintz Levin Cohn Ferris Glovsky &amp; Popeo, P.C.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919 Third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10022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935-3000</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e5e26137941442e98c53e66acc837b16"/>
      <w:bookmarkStart w:id="5" w:name="ze5e26137941442e98c53e66acc837b16"/>
      <w:bookmarkEnd w:id="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color w:val="000000"/>
              </w:rPr>
            </w:pPr>
            <w:r>
              <w:rPr>
                <w:color w:val="000000"/>
              </w:rPr>
              <w:t>Check the box if the filing relates solely to preliminary communications made before the commencement of a tender offer.</w:t>
            </w:r>
          </w:p>
        </w:tc>
      </w:tr>
    </w:tbl>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6" w:name="TOC"/>
      <w:bookmarkStart w:id="7" w:name="ny20069664x1_sc14d9_101-toc_pg1"/>
      <w:bookmarkEnd w:id="6"/>
      <w:bookmarkEnd w:id="7"/>
      <w:r>
        <w:rPr>
          <w:rFonts w:ascii="Times New Roman" w:hAnsi="Times New Roman"/>
          <w:color w:val="000000"/>
          <w:sz w:val="20"/>
        </w:rPr>
        <w:t>This Amendment No. 2 (this “</w:t>
      </w:r>
      <w:r>
        <w:rPr>
          <w:rFonts w:ascii="Times New Roman" w:hAnsi="Times New Roman"/>
          <w:b/>
          <w:color w:val="000000"/>
          <w:sz w:val="20"/>
        </w:rPr>
        <w:t>Amendment</w:t>
      </w:r>
      <w:r>
        <w:rPr>
          <w:rFonts w:ascii="Times New Roman" w:hAnsi="Times New Roman"/>
          <w:color w:val="000000"/>
          <w:sz w:val="20"/>
        </w:rPr>
        <w:t>”) to Schedule 14D-9 amends and supplements the Solicitation/Recommendation Statement on Schedule 14D-9 previously filed by Lisata Therapeutics, Inc., a Delaware corporation (the “</w:t>
      </w:r>
      <w:r>
        <w:rPr>
          <w:rFonts w:ascii="Times New Roman" w:hAnsi="Times New Roman"/>
          <w:b/>
          <w:color w:val="000000"/>
          <w:sz w:val="20"/>
        </w:rPr>
        <w:t>Company</w:t>
      </w:r>
      <w:r>
        <w:rPr>
          <w:rFonts w:ascii="Times New Roman" w:hAnsi="Times New Roman"/>
          <w:color w:val="000000"/>
          <w:sz w:val="20"/>
        </w:rPr>
        <w:t>”), with the U.S. Securities and Exchange Commission (the “</w:t>
      </w:r>
      <w:r>
        <w:rPr>
          <w:rFonts w:ascii="Times New Roman" w:hAnsi="Times New Roman"/>
          <w:b/>
          <w:color w:val="000000"/>
          <w:sz w:val="20"/>
        </w:rPr>
        <w:t>SEC</w:t>
      </w:r>
      <w:r>
        <w:rPr>
          <w:rFonts w:ascii="Times New Roman" w:hAnsi="Times New Roman"/>
          <w:color w:val="000000"/>
          <w:sz w:val="20"/>
        </w:rPr>
        <w:t>”) on June 10, 2026, (as amended or supplemented from time to time, the “</w:t>
      </w:r>
      <w:r>
        <w:rPr>
          <w:rFonts w:ascii="Times New Roman" w:hAnsi="Times New Roman"/>
          <w:b/>
          <w:color w:val="000000"/>
          <w:sz w:val="20"/>
        </w:rPr>
        <w:t>Schedule 14D-9</w:t>
      </w:r>
      <w:r>
        <w:rPr>
          <w:rFonts w:ascii="Times New Roman" w:hAnsi="Times New Roman"/>
          <w:color w:val="000000"/>
          <w:sz w:val="20"/>
        </w:rPr>
        <w:t>”), relating to the Tender Offer Statement on Schedule TO filed with the SEC on June 10, 2026 (together with any amendments and supplements thereto, the “</w:t>
      </w:r>
      <w:r>
        <w:rPr>
          <w:rFonts w:ascii="Times New Roman" w:hAnsi="Times New Roman"/>
          <w:b/>
          <w:color w:val="000000"/>
          <w:sz w:val="20"/>
        </w:rPr>
        <w:t>Schedule TO</w:t>
      </w:r>
      <w:r>
        <w:rPr>
          <w:rFonts w:ascii="Times New Roman" w:hAnsi="Times New Roman"/>
          <w:color w:val="000000"/>
          <w:sz w:val="20"/>
        </w:rPr>
        <w:t>”) by Kuva Acquisition Corp., a Delaware corporation (“</w:t>
      </w:r>
      <w:r>
        <w:rPr>
          <w:rFonts w:ascii="Times New Roman" w:hAnsi="Times New Roman"/>
          <w:b/>
          <w:color w:val="000000"/>
          <w:sz w:val="20"/>
        </w:rPr>
        <w:t>Purchaser”</w:t>
      </w:r>
      <w:r>
        <w:rPr>
          <w:rFonts w:ascii="Times New Roman" w:hAnsi="Times New Roman"/>
          <w:color w:val="000000"/>
          <w:sz w:val="20"/>
        </w:rPr>
        <w:t>) and a direct wholly owned subsidiary of  Kuva Labs Inc., a Delaware corporation (“</w:t>
      </w:r>
      <w:r>
        <w:rPr>
          <w:rFonts w:ascii="Times New Roman" w:hAnsi="Times New Roman"/>
          <w:b/>
          <w:color w:val="000000"/>
          <w:sz w:val="20"/>
        </w:rPr>
        <w:t>Parent</w:t>
      </w:r>
      <w:r>
        <w:rPr>
          <w:rFonts w:ascii="Times New Roman" w:hAnsi="Times New Roman"/>
          <w:color w:val="000000"/>
          <w:sz w:val="20"/>
        </w:rPr>
        <w:t>”).  The Schedule TO relates to the tender offer by Purchaser to purchase all of the outstanding shares of common stock, par value, $0.001 per share (the “</w:t>
      </w:r>
      <w:r>
        <w:rPr>
          <w:rFonts w:ascii="Times New Roman" w:hAnsi="Times New Roman"/>
          <w:b/>
          <w:color w:val="000000"/>
          <w:sz w:val="20"/>
        </w:rPr>
        <w:t>Common Shares</w:t>
      </w:r>
      <w:r>
        <w:rPr>
          <w:rFonts w:ascii="Times New Roman" w:hAnsi="Times New Roman"/>
          <w:color w:val="000000"/>
          <w:sz w:val="20"/>
        </w:rPr>
        <w:t>”), of the Company, at a purchase price of (i) $4.00 per Common Share, net to the seller in cash, without interest (the “</w:t>
      </w:r>
      <w:r>
        <w:rPr>
          <w:rFonts w:ascii="Times New Roman" w:hAnsi="Times New Roman"/>
          <w:b/>
          <w:color w:val="000000"/>
          <w:sz w:val="20"/>
        </w:rPr>
        <w:t>Closing Amount</w:t>
      </w:r>
      <w:r>
        <w:rPr>
          <w:rFonts w:ascii="Times New Roman" w:hAnsi="Times New Roman"/>
          <w:color w:val="000000"/>
          <w:sz w:val="20"/>
        </w:rPr>
        <w:t>”), plus (ii) one contingent value right (each, a “</w:t>
      </w:r>
      <w:r>
        <w:rPr>
          <w:rFonts w:ascii="Times New Roman" w:hAnsi="Times New Roman"/>
          <w:b/>
          <w:color w:val="000000"/>
          <w:sz w:val="20"/>
        </w:rPr>
        <w:t>CVR</w:t>
      </w:r>
      <w:r>
        <w:rPr>
          <w:rFonts w:ascii="Times New Roman" w:hAnsi="Times New Roman"/>
          <w:color w:val="000000"/>
          <w:sz w:val="20"/>
        </w:rPr>
        <w:t>”),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hAnsi="Times New Roman"/>
          <w:b/>
          <w:color w:val="000000"/>
          <w:sz w:val="20"/>
        </w:rPr>
        <w:t>CVR Agreement</w:t>
      </w:r>
      <w:r>
        <w:rPr>
          <w:rFonts w:ascii="Times New Roman" w:hAnsi="Times New Roman"/>
          <w:color w:val="000000"/>
          <w:sz w:val="20"/>
        </w:rPr>
        <w:t>”) to be entered into with a rights agent selected by Parent and reasonably acceptable to the Company (the “</w:t>
      </w:r>
      <w:r>
        <w:rPr>
          <w:rFonts w:ascii="Times New Roman" w:hAnsi="Times New Roman"/>
          <w:b/>
          <w:color w:val="000000"/>
          <w:sz w:val="20"/>
        </w:rPr>
        <w:t>Rights Agent</w:t>
      </w:r>
      <w:r>
        <w:rPr>
          <w:rFonts w:ascii="Times New Roman" w:hAnsi="Times New Roman"/>
          <w:color w:val="000000"/>
          <w:sz w:val="20"/>
        </w:rPr>
        <w:t>”) at the time provided for in the CVR Agreement, net to the seller in cash, without interest (the Closing Amount plus one CVR, collectively, or any higher amount per Common Share paid pursuant to the Offer, the “</w:t>
      </w:r>
      <w:r>
        <w:rPr>
          <w:rFonts w:ascii="Times New Roman" w:hAnsi="Times New Roman"/>
          <w:b/>
          <w:color w:val="000000"/>
          <w:sz w:val="20"/>
        </w:rPr>
        <w:t>Offer Price</w:t>
      </w:r>
      <w:r>
        <w:rPr>
          <w:rFonts w:ascii="Times New Roman" w:hAnsi="Times New Roman"/>
          <w:color w:val="000000"/>
          <w:sz w:val="20"/>
        </w:rPr>
        <w:t>”) and less any applicable tax withholding, upon the terms and subject to the conditions set forth in the Offer to Purchase dated June 10, 2026 (together with any amendments or supplements thereto, the “</w:t>
      </w:r>
      <w:r>
        <w:rPr>
          <w:rFonts w:ascii="Times New Roman" w:hAnsi="Times New Roman"/>
          <w:b/>
          <w:color w:val="000000"/>
          <w:sz w:val="20"/>
        </w:rPr>
        <w:t>Offer to Purchase</w:t>
      </w:r>
      <w:r>
        <w:rPr>
          <w:rFonts w:ascii="Times New Roman" w:hAnsi="Times New Roman"/>
          <w:color w:val="000000"/>
          <w:sz w:val="20"/>
        </w:rPr>
        <w:t>”), and in the accompanying Letter of Transmittal, copies of which were incorporated by reference into the Schedule 14D-9 as Exhibits (a)(1)(A) and (a)(1)(B), respectively (which, together with the Offer to Purchase, as each may be amended or supplemented from time to time, collectively constitute the “</w:t>
      </w:r>
      <w:r>
        <w:rPr>
          <w:rFonts w:ascii="Times New Roman" w:hAnsi="Times New Roman"/>
          <w:b/>
          <w:color w:val="000000"/>
          <w:sz w:val="20"/>
        </w:rPr>
        <w:t>Offer</w:t>
      </w:r>
      <w:r>
        <w:rPr>
          <w:rFonts w:ascii="Times New Roman" w:hAnsi="Times New Roman"/>
          <w:color w:val="000000"/>
          <w:sz w:val="20"/>
        </w:rPr>
        <w:t>”). The Offer is described in the Schedule TO.  Capitalized terms used and not defined herein shall have the meanings given to such terms in the Schedule 14D-9. This Amendment is being filed to reflect certain updates as reflected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set forth below, the information set forth in the Schedule 14D-9 remains unchanged and is incorporated by reference as relevant to the items in this Amendment. Capitalized terms used and not defined herein shall have the meanings given to such terms in the Schedule 14D-9. This Amendment is being filed to reflect certain updates as reflected below.</w:t>
      </w:r>
      <w:bookmarkStart w:id="8" w:name="ny20069664x1_sc14d9_102-items_pg20"/>
      <w:bookmarkStart w:id="9" w:name="ny20069664x1_sc14d9_102-items_pg19"/>
      <w:bookmarkStart w:id="10" w:name="ny20069664x1_sc14d9_102-items_pg18"/>
      <w:bookmarkStart w:id="11" w:name="ny20069664x1_sc14d9_102-items_pg17"/>
      <w:bookmarkStart w:id="12" w:name="ny20069664x1_sc14d9_102-items_pg16"/>
      <w:bookmarkStart w:id="13" w:name="ny20069664x1_sc14d9_102-items_pg15"/>
      <w:bookmarkStart w:id="14" w:name="ny20069664x1_sc14d9_102-items_pg14"/>
      <w:bookmarkStart w:id="15" w:name="ny20069664x1_sc14d9_102-items_pg13"/>
      <w:bookmarkStart w:id="16" w:name="ny20069664x1_sc14d9_102-items_pg12"/>
      <w:bookmarkStart w:id="17" w:name="ny20069664x1_sc14d9_102-items_pg11"/>
      <w:bookmarkStart w:id="18" w:name="ny20069664x1_sc14d9_102-items_pg10"/>
      <w:bookmarkStart w:id="19" w:name="ny20069664x1_sc14d9_102-items_pg9"/>
      <w:bookmarkStart w:id="20" w:name="ny20069664x1_sc14d9_102-items_pg8"/>
      <w:bookmarkStart w:id="21" w:name="ny20069664x1_sc14d9_102-items_pg7"/>
      <w:bookmarkStart w:id="22" w:name="ny20069664x1_sc14d9_102-items_pg6"/>
      <w:bookmarkStart w:id="23" w:name="ny20069664x1_sc14d9_102-items_pg5"/>
      <w:bookmarkStart w:id="24" w:name="tIT3"/>
      <w:bookmarkStart w:id="25" w:name="ny20069664x1_sc14d9_102-items_pg4"/>
      <w:bookmarkStart w:id="26" w:name="ny20069664x1_sc14d9_102-items_pg3"/>
      <w:bookmarkStart w:id="27" w:name="ny20069664x1_sc14d9_102-items_pg2"/>
      <w:bookmarkStart w:id="28" w:name="tIT2"/>
      <w:bookmarkStart w:id="29" w:name="tIT1"/>
      <w:bookmarkStart w:id="30" w:name="ny20069664x1_sc14d9_102-items_pg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529f8d6d5ebf4820a5169fa007c858a6"/>
      <w:bookmarkStart w:id="32" w:name="z529f8d6d5ebf4820a5169fa007c858a6"/>
      <w:bookmarkEnd w:id="32"/>
    </w:p>
    <w:tbl>
      <w:tblPr>
        <w:tblW w:w="4960" w:type="dxa"/>
        <w:jc w:val="left"/>
        <w:tblInd w:w="0" w:type="dxa"/>
        <w:tblLayout w:type="fixed"/>
        <w:tblCellMar>
          <w:top w:w="0" w:type="dxa"/>
          <w:left w:w="0" w:type="dxa"/>
          <w:bottom w:w="0" w:type="dxa"/>
          <w:right w:w="0" w:type="dxa"/>
        </w:tblCellMar>
      </w:tblPr>
      <w:tblGrid>
        <w:gridCol w:w="740"/>
        <w:gridCol w:w="4220"/>
      </w:tblGrid>
      <w:tr>
        <w:trPr/>
        <w:tc>
          <w:tcPr>
            <w:tcW w:w="740" w:type="dxa"/>
            <w:tcBorders/>
            <w:vAlign w:val="center"/>
          </w:tcPr>
          <w:p>
            <w:pPr>
              <w:pStyle w:val="TableContents"/>
              <w:bidi w:val="0"/>
              <w:spacing w:before="0" w:after="283"/>
              <w:jc w:val="left"/>
              <w:rPr>
                <w:b/>
                <w:color w:val="000000"/>
              </w:rPr>
            </w:pPr>
            <w:bookmarkStart w:id="33" w:name="tIT4"/>
            <w:bookmarkEnd w:id="33"/>
            <w:r>
              <w:rPr>
                <w:b/>
                <w:color w:val="000000"/>
              </w:rPr>
              <w:t>Item 2.</w:t>
            </w:r>
          </w:p>
        </w:tc>
        <w:tc>
          <w:tcPr>
            <w:tcW w:w="4220" w:type="dxa"/>
            <w:tcBorders/>
            <w:vAlign w:val="center"/>
          </w:tcPr>
          <w:p>
            <w:pPr>
              <w:pStyle w:val="TableContents"/>
              <w:bidi w:val="0"/>
              <w:spacing w:before="0" w:after="0"/>
              <w:jc w:val="left"/>
              <w:rPr>
                <w:b/>
                <w:i/>
                <w:color w:val="000000"/>
              </w:rPr>
            </w:pPr>
            <w:r>
              <w:rPr>
                <w:b/>
                <w:i/>
                <w:color w:val="000000"/>
              </w:rPr>
              <w:t>Identity and Background of Filing Person.</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i/>
          <w:color w:val="000000"/>
          <w:sz w:val="20"/>
        </w:rPr>
        <w:t>Item 2. Identity and Background of Filing Person” of the Schedule 14D-9 is hereby amended and supplemented by inserting the following paragraph after the last paragraph under the subsection entitled “Tender Offer” as follows: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On July 10, 2026, Purchaser announced an extension to the expiration of the Offer until 11:59 p.m., New York City time, on July 16, 2026, unless the Offer is further extended or earlier terminated as permitted by the Merger Agreement. The Offer was previously scheduled to expire at 11:59 p.m., New York City time, on July 10, 2026. Parent and Purchaser expect the Offer will be consummated promptly following the expiration of the Offer (as extended), subject to the satisfaction of the remaining conditions to the consummation of the Offer set forth in the Merger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40d4bcc519954a82b8f42e645aacb362"/>
      <w:bookmarkStart w:id="35" w:name="z40d4bcc519954a82b8f42e645aacb362"/>
      <w:bookmarkEnd w:id="35"/>
    </w:p>
    <w:tbl>
      <w:tblPr>
        <w:tblW w:w="3100" w:type="dxa"/>
        <w:jc w:val="left"/>
        <w:tblInd w:w="0" w:type="dxa"/>
        <w:tblLayout w:type="fixed"/>
        <w:tblCellMar>
          <w:top w:w="0" w:type="dxa"/>
          <w:left w:w="0" w:type="dxa"/>
          <w:bottom w:w="0" w:type="dxa"/>
          <w:right w:w="0" w:type="dxa"/>
        </w:tblCellMar>
      </w:tblPr>
      <w:tblGrid>
        <w:gridCol w:w="740"/>
        <w:gridCol w:w="2360"/>
      </w:tblGrid>
      <w:tr>
        <w:trPr/>
        <w:tc>
          <w:tcPr>
            <w:tcW w:w="740" w:type="dxa"/>
            <w:tcBorders/>
            <w:vAlign w:val="center"/>
          </w:tcPr>
          <w:p>
            <w:pPr>
              <w:pStyle w:val="TableContents"/>
              <w:bidi w:val="0"/>
              <w:spacing w:before="0" w:after="283"/>
              <w:jc w:val="left"/>
              <w:rPr>
                <w:b/>
                <w:color w:val="000000"/>
              </w:rPr>
            </w:pPr>
            <w:bookmarkStart w:id="36" w:name="tIT8"/>
            <w:bookmarkEnd w:id="36"/>
            <w:r>
              <w:rPr>
                <w:b/>
                <w:color w:val="000000"/>
              </w:rPr>
              <w:t>Item 8.</w:t>
            </w:r>
          </w:p>
        </w:tc>
        <w:tc>
          <w:tcPr>
            <w:tcW w:w="2360" w:type="dxa"/>
            <w:tcBorders/>
            <w:vAlign w:val="center"/>
          </w:tcPr>
          <w:p>
            <w:pPr>
              <w:pStyle w:val="TableContents"/>
              <w:bidi w:val="0"/>
              <w:spacing w:before="0" w:after="0"/>
              <w:jc w:val="left"/>
              <w:rPr>
                <w:b/>
                <w:i/>
                <w:color w:val="000000"/>
              </w:rPr>
            </w:pPr>
            <w:r>
              <w:rPr>
                <w:b/>
                <w:i/>
                <w:color w:val="000000"/>
              </w:rPr>
              <w:t>Additional Information.</w:t>
            </w:r>
          </w:p>
        </w:tc>
      </w:tr>
    </w:tbl>
    <w:p>
      <w:pPr>
        <w:pStyle w:val="TextBody"/>
        <w:bidi w:val="0"/>
        <w:spacing w:before="0" w:after="0"/>
        <w:jc w:val="left"/>
        <w:rPr>
          <w:i/>
          <w:color w:val="000000"/>
        </w:rPr>
      </w:pPr>
      <w:r>
        <w:rPr>
          <w:i/>
          <w:color w:val="000000"/>
        </w:rPr>
      </w:r>
      <w:bookmarkStart w:id="37" w:name="ny20069664x1_sc14d9_102-items_pg49"/>
      <w:bookmarkStart w:id="38" w:name="ny20069664x1_sc14d9_102-items_pg48"/>
      <w:bookmarkStart w:id="39" w:name="ny20069664x1_sc14d9_102-items_pg49"/>
      <w:bookmarkStart w:id="40" w:name="ny20069664x1_sc14d9_102-items_pg48"/>
      <w:bookmarkEnd w:id="39"/>
      <w:bookmarkEnd w:id="40"/>
    </w:p>
    <w:p>
      <w:pPr>
        <w:pStyle w:val="TextBody"/>
        <w:bidi w:val="0"/>
        <w:spacing w:before="0" w:after="0"/>
        <w:jc w:val="left"/>
        <w:rPr>
          <w:color w:val="000000"/>
        </w:rPr>
      </w:pPr>
      <w:r>
        <w:rPr>
          <w:color w:val="000000"/>
        </w:rPr>
        <w:t>“</w:t>
      </w:r>
      <w:r>
        <w:rPr>
          <w:rFonts w:ascii="Times New Roman" w:hAnsi="Times New Roman"/>
          <w:i/>
          <w:color w:val="000000"/>
          <w:sz w:val="20"/>
        </w:rPr>
        <w:t>Item 8. Additional Information” of the Schedule 14D-9 is hereby amended and supplemented by adding the following at the end of Item 8 of the Schedule 14D-9:</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10, 2026, Purchaser announced an extension to the expiration of the Offer until 11:59 p.m., New York City time, on July 16, 2026, unless the Offer is further extended or earlier terminated as permitted by the Merger Agreement. The Offer was previously scheduled to expire at 11:59 p.m., New York City time, on July 10,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Equiniti Trust Company, LLC, the depositary for the Offer, has advised Purchaser that, as of 12:45 p.m., New York City time, on July 10, 2026, approximately 5,105,552 Common Shares have been validly tendered and not validly withdrawn pursuant to the Offer, representing approximately 55.98% of the 9,119,742 Common Shares outstanding as of June 9, 2026 (the most recent practicable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Parent and Purchaser expect the Offer will be consummated promptly following the expiration of the Offer (as extended), subject to the satisfaction of the remaining conditions to the consummation of the Offer set forth in the Merger Agreement.</w:t>
      </w:r>
    </w:p>
    <w:p>
      <w:pPr>
        <w:pStyle w:val="TextBody"/>
        <w:bidi w:val="0"/>
        <w:spacing w:before="0" w:after="0"/>
        <w:jc w:val="left"/>
        <w:rPr/>
      </w:pPr>
      <w:r>
        <w:rPr/>
      </w:r>
      <w:bookmarkStart w:id="41" w:name="ny20069664x1_sc14d9_102-items_pg53"/>
      <w:bookmarkStart w:id="42" w:name="ny20069664x1_sc14d9_102-items_pg52"/>
      <w:bookmarkStart w:id="43" w:name="ny20069664x1_sc14d9_102-items_pg51"/>
      <w:bookmarkStart w:id="44" w:name="ny20069664x1_sc14d9_102-items_pg50"/>
      <w:bookmarkStart w:id="45" w:name="ny20069664x1_sc14d9_102-items_pg53"/>
      <w:bookmarkStart w:id="46" w:name="ny20069664x1_sc14d9_102-items_pg52"/>
      <w:bookmarkStart w:id="47" w:name="ny20069664x1_sc14d9_102-items_pg51"/>
      <w:bookmarkStart w:id="48" w:name="ny20069664x1_sc14d9_102-items_pg50"/>
      <w:bookmarkEnd w:id="45"/>
      <w:bookmarkEnd w:id="46"/>
      <w:bookmarkEnd w:id="47"/>
      <w:bookmarkEnd w:id="48"/>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center"/>
        <w:rPr>
          <w:b/>
          <w:color w:val="000000"/>
        </w:rPr>
      </w:pPr>
      <w:r>
        <w:rPr>
          <w:b/>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49" w:name="z4510ae66b227431fb88f15467cdb25a2"/>
      <w:bookmarkStart w:id="50" w:name="z4510ae66b227431fb88f15467cdb25a2"/>
      <w:bookmarkEnd w:id="50"/>
    </w:p>
    <w:tbl>
      <w:tblPr>
        <w:tblW w:w="4600" w:type="dxa"/>
        <w:jc w:val="left"/>
        <w:tblInd w:w="0" w:type="dxa"/>
        <w:tblLayout w:type="fixed"/>
        <w:tblCellMar>
          <w:top w:w="0" w:type="dxa"/>
          <w:left w:w="0" w:type="dxa"/>
          <w:bottom w:w="0" w:type="dxa"/>
          <w:right w:w="0" w:type="dxa"/>
        </w:tblCellMar>
      </w:tblPr>
      <w:tblGrid>
        <w:gridCol w:w="365"/>
        <w:gridCol w:w="4175"/>
        <w:gridCol w:w="60"/>
      </w:tblGrid>
      <w:tr>
        <w:trPr/>
        <w:tc>
          <w:tcPr>
            <w:tcW w:w="4540" w:type="dxa"/>
            <w:gridSpan w:val="2"/>
            <w:tcBorders/>
            <w:vAlign w:val="center"/>
          </w:tcPr>
          <w:p>
            <w:pPr>
              <w:pStyle w:val="TableContents"/>
              <w:bidi w:val="0"/>
              <w:spacing w:before="0" w:after="0"/>
              <w:jc w:val="left"/>
              <w:rPr>
                <w:b/>
                <w:color w:val="000000"/>
              </w:rPr>
            </w:pPr>
            <w:r>
              <w:rPr>
                <w:b/>
                <w:color w:val="000000"/>
              </w:rPr>
              <w:t>Lisata Therapeutics, Inc.</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417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David J. Mazzo</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color w:val="000000"/>
              </w:rPr>
            </w:pPr>
            <w:r>
              <w:rPr>
                <w:color w:val="000000"/>
              </w:rPr>
              <w:t>Name: David J. Mazzo, PhD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color w:val="000000"/>
              </w:rPr>
            </w:pPr>
            <w:r>
              <w:rPr>
                <w:color w:val="000000"/>
              </w:rPr>
              <w:t>Title: 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July 13, 2026</w:t>
      </w:r>
    </w:p>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976</Words>
  <Characters>5167</Characters>
  <CharactersWithSpaces>6112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