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78316_sc14d9a.htm"/>
      <w:bookmarkStart w:id="1" w:name="ksef20078316_sc14d9a"/>
      <w:bookmarkStart w:id="2" w:name="ef20078316_sc14d9a.htm"/>
      <w:bookmarkStart w:id="3" w:name="ksef20078316_sc14d9a"/>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SCHEDULE 14D-9</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(Rule 14d-101)</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Solicitation/Recommendation Statement</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Under Section 14(d)(4) of the Securities Exchange Act of 1934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(Amendment No. 4)</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Lisata Therapeutics,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Subject Company)</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Lisata Therapeutics,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of Person Filing Statement)</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Common Stock, par value $0.001 per share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(Title of Class of Securities)</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128058302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(CUSIP Number of Class of Securities)</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David J. Mazzo, Ph.D.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Chief Executive Officer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Lisata Therapeutics,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 Box 173, Liberty Corner,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New Jersey 07938</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(908) 841-0100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(Name, Address and Telephone Number of Person Authorized to Receive Notices and Communications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on Behalf of the Person Filing Statement)</w:t>
      </w:r>
    </w:p>
    <w:p>
      <w:pPr>
        <w:pStyle w:val="TextBody"/>
        <w:bidi w:val="0"/>
        <w:spacing w:before="0" w:after="0"/>
        <w:jc w:val="center"/>
        <w:rPr>
          <w:b/>
          <w:color w:val="000000"/>
        </w:rPr>
      </w:pPr>
      <w:r>
        <w:rPr>
          <w:b/>
          <w:color w:val="000000"/>
        </w:rPr>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With copies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Jeffrey P. Schultz, Esq.</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Mintz Levin Cohn Ferris Glovsky &amp; Popeo, P.C.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919 Third Avenue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New York, NY 10022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(212) 935-3000</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07b262b3445b48a6a01a353b518f89b9"/>
      <w:bookmarkStart w:id="5" w:name="z07b262b3445b48a6a01a353b518f89b9"/>
      <w:bookmarkEnd w:id="5"/>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color w:val="000000"/>
              </w:rPr>
            </w:pPr>
            <w:r>
              <w:rPr>
                <w:color w:val="000000"/>
              </w:rPr>
              <w:t>☐</w:t>
            </w:r>
          </w:p>
        </w:tc>
        <w:tc>
          <w:tcPr>
            <w:tcW w:w="9960" w:type="dxa"/>
            <w:tcBorders/>
            <w:vAlign w:val="center"/>
          </w:tcPr>
          <w:p>
            <w:pPr>
              <w:pStyle w:val="TableContents"/>
              <w:bidi w:val="0"/>
              <w:spacing w:before="0" w:after="0"/>
              <w:jc w:val="left"/>
              <w:rPr>
                <w:color w:val="000000"/>
              </w:rPr>
            </w:pPr>
            <w:r>
              <w:rPr>
                <w:color w:val="000000"/>
              </w:rPr>
              <w:t>Check the box if the filing relates solely to preliminary communications made before the commencement of a tender offer.</w:t>
            </w:r>
          </w:p>
        </w:tc>
      </w:tr>
    </w:tbl>
    <w:p>
      <w:pPr>
        <w:pStyle w:val="TextBody"/>
        <w:bidi w:val="0"/>
        <w:spacing w:before="0" w:after="0"/>
        <w:jc w:val="left"/>
        <w:rPr>
          <w:color w:val="000000"/>
        </w:rPr>
      </w:pPr>
      <w:r>
        <w:rPr>
          <w:color w:val="000000"/>
        </w:rPr>
        <w:t> </w:t>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bookmarkStart w:id="6" w:name="TOC"/>
      <w:bookmarkStart w:id="7" w:name="ny20069664x1_sc14d9_101-toc_pg1"/>
      <w:bookmarkEnd w:id="6"/>
      <w:bookmarkEnd w:id="7"/>
      <w:r>
        <w:rPr>
          <w:rFonts w:ascii="Times New Roman" w:hAnsi="Times New Roman"/>
          <w:color w:val="000000"/>
          <w:sz w:val="20"/>
        </w:rPr>
        <w:t>This Amendment No. 4 (this “</w:t>
      </w:r>
      <w:r>
        <w:rPr>
          <w:rFonts w:ascii="Times New Roman" w:hAnsi="Times New Roman"/>
          <w:b/>
          <w:color w:val="000000"/>
          <w:sz w:val="20"/>
        </w:rPr>
        <w:t>Amendment</w:t>
      </w:r>
      <w:r>
        <w:rPr>
          <w:rFonts w:ascii="Times New Roman" w:hAnsi="Times New Roman"/>
          <w:color w:val="000000"/>
          <w:sz w:val="20"/>
        </w:rPr>
        <w:t>”) to Schedule 14D-9 amends and supplements the Solicitation/Recommendation Statement on Schedule 14D-9 previously filed by Lisata Therapeutics, Inc., a Delaware corporation (the “</w:t>
      </w:r>
      <w:r>
        <w:rPr>
          <w:rFonts w:ascii="Times New Roman" w:hAnsi="Times New Roman"/>
          <w:b/>
          <w:color w:val="000000"/>
          <w:sz w:val="20"/>
        </w:rPr>
        <w:t>Company</w:t>
      </w:r>
      <w:r>
        <w:rPr>
          <w:rFonts w:ascii="Times New Roman" w:hAnsi="Times New Roman"/>
          <w:color w:val="000000"/>
          <w:sz w:val="20"/>
        </w:rPr>
        <w:t>”), with the U.S. Securities and Exchange Commission (the “</w:t>
      </w:r>
      <w:r>
        <w:rPr>
          <w:rFonts w:ascii="Times New Roman" w:hAnsi="Times New Roman"/>
          <w:b/>
          <w:color w:val="000000"/>
          <w:sz w:val="20"/>
        </w:rPr>
        <w:t>SEC</w:t>
      </w:r>
      <w:r>
        <w:rPr>
          <w:rFonts w:ascii="Times New Roman" w:hAnsi="Times New Roman"/>
          <w:color w:val="000000"/>
          <w:sz w:val="20"/>
        </w:rPr>
        <w:t>”) on June 10, 2026, (as amended or supplemented from time to time, the “</w:t>
      </w:r>
      <w:r>
        <w:rPr>
          <w:rFonts w:ascii="Times New Roman" w:hAnsi="Times New Roman"/>
          <w:b/>
          <w:color w:val="000000"/>
          <w:sz w:val="20"/>
        </w:rPr>
        <w:t>Schedule 14D-9</w:t>
      </w:r>
      <w:r>
        <w:rPr>
          <w:rFonts w:ascii="Times New Roman" w:hAnsi="Times New Roman"/>
          <w:color w:val="000000"/>
          <w:sz w:val="20"/>
        </w:rPr>
        <w:t>”), relating to the Tender Offer Statement on Schedule TO filed with the SEC on June 10, 2026 (together with any amendments and supplements thereto, the “</w:t>
      </w:r>
      <w:r>
        <w:rPr>
          <w:rFonts w:ascii="Times New Roman" w:hAnsi="Times New Roman"/>
          <w:b/>
          <w:color w:val="000000"/>
          <w:sz w:val="20"/>
        </w:rPr>
        <w:t>Schedule TO</w:t>
      </w:r>
      <w:r>
        <w:rPr>
          <w:rFonts w:ascii="Times New Roman" w:hAnsi="Times New Roman"/>
          <w:color w:val="000000"/>
          <w:sz w:val="20"/>
        </w:rPr>
        <w:t>”) by Kuva Acquisition Corp., a Delaware corporation (“</w:t>
      </w:r>
      <w:r>
        <w:rPr>
          <w:rFonts w:ascii="Times New Roman" w:hAnsi="Times New Roman"/>
          <w:b/>
          <w:color w:val="000000"/>
          <w:sz w:val="20"/>
        </w:rPr>
        <w:t>Purchaser”</w:t>
      </w:r>
      <w:r>
        <w:rPr>
          <w:rFonts w:ascii="Times New Roman" w:hAnsi="Times New Roman"/>
          <w:color w:val="000000"/>
          <w:sz w:val="20"/>
        </w:rPr>
        <w:t>) and a direct wholly owned subsidiary of  Kuva Labs Inc., a Delaware corporation (“</w:t>
      </w:r>
      <w:r>
        <w:rPr>
          <w:rFonts w:ascii="Times New Roman" w:hAnsi="Times New Roman"/>
          <w:b/>
          <w:color w:val="000000"/>
          <w:sz w:val="20"/>
        </w:rPr>
        <w:t>Parent</w:t>
      </w:r>
      <w:r>
        <w:rPr>
          <w:rFonts w:ascii="Times New Roman" w:hAnsi="Times New Roman"/>
          <w:color w:val="000000"/>
          <w:sz w:val="20"/>
        </w:rPr>
        <w:t>”).  The Schedule TO relates to the tender offer by Purchaser to purchase all of the outstanding shares of common stock, par value, $0.001 per share (the “</w:t>
      </w:r>
      <w:r>
        <w:rPr>
          <w:rFonts w:ascii="Times New Roman" w:hAnsi="Times New Roman"/>
          <w:b/>
          <w:color w:val="000000"/>
          <w:sz w:val="20"/>
        </w:rPr>
        <w:t>Common Shares</w:t>
      </w:r>
      <w:r>
        <w:rPr>
          <w:rFonts w:ascii="Times New Roman" w:hAnsi="Times New Roman"/>
          <w:color w:val="000000"/>
          <w:sz w:val="20"/>
        </w:rPr>
        <w:t>”), of the Company, at a purchase price of (i) $4.00 per Common Share, net to the seller in cash, without interest (the “</w:t>
      </w:r>
      <w:r>
        <w:rPr>
          <w:rFonts w:ascii="Times New Roman" w:hAnsi="Times New Roman"/>
          <w:b/>
          <w:color w:val="000000"/>
          <w:sz w:val="20"/>
        </w:rPr>
        <w:t>Closing Amount</w:t>
      </w:r>
      <w:r>
        <w:rPr>
          <w:rFonts w:ascii="Times New Roman" w:hAnsi="Times New Roman"/>
          <w:color w:val="000000"/>
          <w:sz w:val="20"/>
        </w:rPr>
        <w:t>”), plus (ii) one contingent value right (each, a “</w:t>
      </w:r>
      <w:r>
        <w:rPr>
          <w:rFonts w:ascii="Times New Roman" w:hAnsi="Times New Roman"/>
          <w:b/>
          <w:color w:val="000000"/>
          <w:sz w:val="20"/>
        </w:rPr>
        <w:t>CVR</w:t>
      </w:r>
      <w:r>
        <w:rPr>
          <w:rFonts w:ascii="Times New Roman" w:hAnsi="Times New Roman"/>
          <w:color w:val="000000"/>
          <w:sz w:val="20"/>
        </w:rPr>
        <w:t>”), which represents the contractual right to receive two contingent cash payments up to an aggregate of $3.00 per CVR subject to the achievement of the Milestones (as defined in the CVR Agreement), in accordance with the terms and subject to the conditions of a contingent value rights agreement (the “</w:t>
      </w:r>
      <w:r>
        <w:rPr>
          <w:rFonts w:ascii="Times New Roman" w:hAnsi="Times New Roman"/>
          <w:b/>
          <w:color w:val="000000"/>
          <w:sz w:val="20"/>
        </w:rPr>
        <w:t>CVR Agreement</w:t>
      </w:r>
      <w:r>
        <w:rPr>
          <w:rFonts w:ascii="Times New Roman" w:hAnsi="Times New Roman"/>
          <w:color w:val="000000"/>
          <w:sz w:val="20"/>
        </w:rPr>
        <w:t>”) to be entered into with a rights agent selected by Parent and reasonably acceptable to the Company (the “</w:t>
      </w:r>
      <w:r>
        <w:rPr>
          <w:rFonts w:ascii="Times New Roman" w:hAnsi="Times New Roman"/>
          <w:b/>
          <w:color w:val="000000"/>
          <w:sz w:val="20"/>
        </w:rPr>
        <w:t>Rights Agent</w:t>
      </w:r>
      <w:r>
        <w:rPr>
          <w:rFonts w:ascii="Times New Roman" w:hAnsi="Times New Roman"/>
          <w:color w:val="000000"/>
          <w:sz w:val="20"/>
        </w:rPr>
        <w:t>”) at the time provided for in the CVR Agreement, net to the seller in cash, without interest (the Closing Amount plus one CVR, collectively, or any higher amount per Common Share paid pursuant to the Offer, the “</w:t>
      </w:r>
      <w:r>
        <w:rPr>
          <w:rFonts w:ascii="Times New Roman" w:hAnsi="Times New Roman"/>
          <w:b/>
          <w:color w:val="000000"/>
          <w:sz w:val="20"/>
        </w:rPr>
        <w:t>Offer Price</w:t>
      </w:r>
      <w:r>
        <w:rPr>
          <w:rFonts w:ascii="Times New Roman" w:hAnsi="Times New Roman"/>
          <w:color w:val="000000"/>
          <w:sz w:val="20"/>
        </w:rPr>
        <w:t>”) and less any applicable tax withholding, upon the terms and subject to the conditions set forth in the Offer to Purchase dated June 10, 2026 (together with any amendments or supplements thereto, the “</w:t>
      </w:r>
      <w:r>
        <w:rPr>
          <w:rFonts w:ascii="Times New Roman" w:hAnsi="Times New Roman"/>
          <w:b/>
          <w:color w:val="000000"/>
          <w:sz w:val="20"/>
        </w:rPr>
        <w:t>Offer to Purchase</w:t>
      </w:r>
      <w:r>
        <w:rPr>
          <w:rFonts w:ascii="Times New Roman" w:hAnsi="Times New Roman"/>
          <w:color w:val="000000"/>
          <w:sz w:val="20"/>
        </w:rPr>
        <w:t>”), and in the accompanying Letter of Transmittal, copies of which were incorporated by reference into the Schedule 14D-9 as Exhibits (a)(1)(A) and (a)(1)(B), respectively (which, together with the Offer to Purchase, as each may be amended or supplemented from time to time, collectively constitute the “</w:t>
      </w:r>
      <w:r>
        <w:rPr>
          <w:rFonts w:ascii="Times New Roman" w:hAnsi="Times New Roman"/>
          <w:b/>
          <w:color w:val="000000"/>
          <w:sz w:val="20"/>
        </w:rPr>
        <w:t>Offer</w:t>
      </w:r>
      <w:r>
        <w:rPr>
          <w:rFonts w:ascii="Times New Roman" w:hAnsi="Times New Roman"/>
          <w:color w:val="000000"/>
          <w:sz w:val="20"/>
        </w:rPr>
        <w:t>”). The Offer is described in the Schedule TO.  Capitalized terms used and not defined herein shall have the meanings given to such terms in the Schedule 14D-9. This Amendment is being filed to reflect certain updates as reflected below.</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Except as otherwise set forth below, the information set forth in the Schedule 14D-9 remains unchanged and is incorporated by reference as relevant to the items in this Amendment. Capitalized terms used and not defined herein shall have the meanings given to such terms in the Schedule 14D-9. This Amendment is being filed to reflect certain updates as reflected below.</w:t>
      </w:r>
      <w:bookmarkStart w:id="8" w:name="ny20069664x1_sc14d9_102-items_pg20"/>
      <w:bookmarkStart w:id="9" w:name="ny20069664x1_sc14d9_102-items_pg19"/>
      <w:bookmarkStart w:id="10" w:name="ny20069664x1_sc14d9_102-items_pg18"/>
      <w:bookmarkStart w:id="11" w:name="ny20069664x1_sc14d9_102-items_pg17"/>
      <w:bookmarkStart w:id="12" w:name="ny20069664x1_sc14d9_102-items_pg16"/>
      <w:bookmarkStart w:id="13" w:name="ny20069664x1_sc14d9_102-items_pg15"/>
      <w:bookmarkStart w:id="14" w:name="ny20069664x1_sc14d9_102-items_pg14"/>
      <w:bookmarkStart w:id="15" w:name="ny20069664x1_sc14d9_102-items_pg13"/>
      <w:bookmarkStart w:id="16" w:name="ny20069664x1_sc14d9_102-items_pg12"/>
      <w:bookmarkStart w:id="17" w:name="ny20069664x1_sc14d9_102-items_pg11"/>
      <w:bookmarkStart w:id="18" w:name="ny20069664x1_sc14d9_102-items_pg10"/>
      <w:bookmarkStart w:id="19" w:name="ny20069664x1_sc14d9_102-items_pg9"/>
      <w:bookmarkStart w:id="20" w:name="ny20069664x1_sc14d9_102-items_pg8"/>
      <w:bookmarkStart w:id="21" w:name="ny20069664x1_sc14d9_102-items_pg7"/>
      <w:bookmarkStart w:id="22" w:name="ny20069664x1_sc14d9_102-items_pg6"/>
      <w:bookmarkStart w:id="23" w:name="ny20069664x1_sc14d9_102-items_pg5"/>
      <w:bookmarkStart w:id="24" w:name="tIT3"/>
      <w:bookmarkStart w:id="25" w:name="ny20069664x1_sc14d9_102-items_pg4"/>
      <w:bookmarkStart w:id="26" w:name="ny20069664x1_sc14d9_102-items_pg3"/>
      <w:bookmarkStart w:id="27" w:name="ny20069664x1_sc14d9_102-items_pg2"/>
      <w:bookmarkStart w:id="28" w:name="tIT2"/>
      <w:bookmarkStart w:id="29" w:name="tIT1"/>
      <w:bookmarkStart w:id="30" w:name="ny20069664x1_sc14d9_102-items_pg1"/>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 w:name="z21e08543838c493a8e3ea4308b3009d2"/>
      <w:bookmarkStart w:id="32" w:name="z21e08543838c493a8e3ea4308b3009d2"/>
      <w:bookmarkEnd w:id="32"/>
    </w:p>
    <w:tbl>
      <w:tblPr>
        <w:tblW w:w="3100" w:type="dxa"/>
        <w:jc w:val="left"/>
        <w:tblInd w:w="0" w:type="dxa"/>
        <w:tblLayout w:type="fixed"/>
        <w:tblCellMar>
          <w:top w:w="0" w:type="dxa"/>
          <w:left w:w="0" w:type="dxa"/>
          <w:bottom w:w="0" w:type="dxa"/>
          <w:right w:w="0" w:type="dxa"/>
        </w:tblCellMar>
      </w:tblPr>
      <w:tblGrid>
        <w:gridCol w:w="740"/>
        <w:gridCol w:w="2360"/>
      </w:tblGrid>
      <w:tr>
        <w:trPr/>
        <w:tc>
          <w:tcPr>
            <w:tcW w:w="740" w:type="dxa"/>
            <w:tcBorders/>
            <w:vAlign w:val="center"/>
          </w:tcPr>
          <w:p>
            <w:pPr>
              <w:pStyle w:val="TableContents"/>
              <w:bidi w:val="0"/>
              <w:spacing w:before="0" w:after="283"/>
              <w:jc w:val="left"/>
              <w:rPr>
                <w:b/>
                <w:color w:val="000000"/>
              </w:rPr>
            </w:pPr>
            <w:bookmarkStart w:id="33" w:name="tIT8"/>
            <w:bookmarkStart w:id="34" w:name="tIT4"/>
            <w:bookmarkEnd w:id="33"/>
            <w:bookmarkEnd w:id="34"/>
            <w:r>
              <w:rPr>
                <w:b/>
                <w:color w:val="000000"/>
              </w:rPr>
              <w:t>Item 8.</w:t>
            </w:r>
          </w:p>
        </w:tc>
        <w:tc>
          <w:tcPr>
            <w:tcW w:w="2360" w:type="dxa"/>
            <w:tcBorders/>
            <w:vAlign w:val="center"/>
          </w:tcPr>
          <w:p>
            <w:pPr>
              <w:pStyle w:val="TableContents"/>
              <w:bidi w:val="0"/>
              <w:spacing w:before="0" w:after="0"/>
              <w:jc w:val="left"/>
              <w:rPr>
                <w:b/>
                <w:i/>
                <w:color w:val="000000"/>
              </w:rPr>
            </w:pPr>
            <w:r>
              <w:rPr>
                <w:b/>
                <w:i/>
                <w:color w:val="000000"/>
              </w:rPr>
              <w:t>Additional Information.</w:t>
            </w:r>
          </w:p>
        </w:tc>
      </w:tr>
    </w:tbl>
    <w:p>
      <w:pPr>
        <w:pStyle w:val="TextBody"/>
        <w:bidi w:val="0"/>
        <w:spacing w:before="0" w:after="0"/>
        <w:jc w:val="left"/>
        <w:rPr>
          <w:color w:val="000000"/>
        </w:rPr>
      </w:pPr>
      <w:r>
        <w:rPr>
          <w:color w:val="000000"/>
        </w:rPr>
        <w:t> </w:t>
      </w:r>
    </w:p>
    <w:p>
      <w:pPr>
        <w:pStyle w:val="TextBody"/>
        <w:bidi w:val="0"/>
        <w:spacing w:before="0" w:after="0"/>
        <w:jc w:val="left"/>
        <w:rPr>
          <w:color w:val="000000"/>
        </w:rPr>
      </w:pPr>
      <w:bookmarkStart w:id="35" w:name="ny20069664x1_sc14d9_102-items_pg49"/>
      <w:bookmarkStart w:id="36" w:name="ny20069664x1_sc14d9_102-items_pg48"/>
      <w:bookmarkEnd w:id="35"/>
      <w:bookmarkEnd w:id="36"/>
      <w:r>
        <w:rPr>
          <w:color w:val="000000"/>
        </w:rPr>
        <w:t>“</w:t>
      </w:r>
      <w:r>
        <w:rPr>
          <w:rFonts w:ascii="Times New Roman" w:hAnsi="Times New Roman"/>
          <w:i/>
          <w:color w:val="000000"/>
          <w:sz w:val="20"/>
        </w:rPr>
        <w:t>Item 8. Additional Information” of the Schedule 14D-9 is hereby amended and supplemented by adding the following at the end of Item 8 of the Schedule 14D-9:</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b/>
          <w:color w:val="000000"/>
          <w:sz w:val="20"/>
        </w:rPr>
        <w:t>Expiration of the Offer; Uncertain Acceptance Date (If Any)</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Offer, as extended, and related withdrawal rights expired one minute after 11:59 p.m., New York City Time, on July 20, 2026.</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Equiniti Trust Company, LLC, in its capacity as depositary and paying agent for the Offer (the “</w:t>
      </w:r>
      <w:r>
        <w:rPr>
          <w:rFonts w:ascii="Times New Roman" w:hAnsi="Times New Roman"/>
          <w:b/>
          <w:color w:val="000000"/>
          <w:sz w:val="20"/>
        </w:rPr>
        <w:t>Depositary</w:t>
      </w:r>
      <w:r>
        <w:rPr>
          <w:rFonts w:ascii="Times New Roman" w:hAnsi="Times New Roman"/>
          <w:color w:val="000000"/>
          <w:sz w:val="20"/>
        </w:rPr>
        <w:t>”), has indicated that, as of the expiration of the Offer, approximately 6,095,868 Common Shares have been validly tendered and not validly withdrawn pursuant to the Offer, representing approximately 66.8% of the 9,119,742 Common Shares outstanding as of the expiration of the Offer. Accordingly, as of the expiration of the Offer, the number of Shares validly tendered and “received” (as defined in Section 251(h)(6) of the DGCL) and not validly withdrawn pursuant to the Offer satisfied the Minimum Tender Condition.</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Company has notified Parent and Purchaser that all of the conditions to the Offer have been satisfied and that Purchaser is obligated to accept for payment all Shares validly tendered and not validly withdrawn pursuant to the Offer (the “</w:t>
      </w:r>
      <w:r>
        <w:rPr>
          <w:rFonts w:ascii="Times New Roman" w:hAnsi="Times New Roman"/>
          <w:b/>
          <w:color w:val="000000"/>
          <w:sz w:val="20"/>
        </w:rPr>
        <w:t>Tendered Shares</w:t>
      </w:r>
      <w:r>
        <w:rPr>
          <w:rFonts w:ascii="Times New Roman" w:hAnsi="Times New Roman"/>
          <w:color w:val="000000"/>
          <w:sz w:val="20"/>
        </w:rPr>
        <w:t>”) and promptly pay for all such Shares. Parent has informed the Company that Parent has been unable to obtain sufficient financing for purposes of funding the Offer as of the expiration time of the Offer. As of the time of the filing of this Amendment, Purchaser has not accepted for payment the Tendered Shares and has not confirmed to the Company the date, if any, by which it will be willing and able to do so. The Company is evaluating the rights and remedies available to it in the event Purchaser fails to promptly accept for payment the Tendered Shares. Such evaluation is not a withdrawal, qualification or modification of the recommendation of the Board set forth in the section of the Schedule 14D-9 captioned “</w:t>
      </w:r>
      <w:r>
        <w:rPr>
          <w:rFonts w:ascii="Times New Roman" w:hAnsi="Times New Roman"/>
          <w:i/>
          <w:color w:val="000000"/>
          <w:sz w:val="20"/>
        </w:rPr>
        <w:t>Item 4. The Solicitation or Recommendation-Recommendation of the Board</w:t>
      </w:r>
      <w:r>
        <w:rPr>
          <w:rFonts w:ascii="Times New Roman" w:hAnsi="Times New Roman"/>
          <w:color w:val="000000"/>
          <w:sz w:val="20"/>
        </w:rPr>
        <w:t>” or a proposal to do the same.”</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bookmarkStart w:id="37" w:name="ny20069664x1_sc14d9_103-item9_pg1"/>
      <w:bookmarkStart w:id="38" w:name="ny20069664x1_sc14d9_102-items_pg54"/>
      <w:bookmarkStart w:id="39" w:name="ny20069664x1_sc14d9_102-items_pg53"/>
      <w:bookmarkStart w:id="40" w:name="ny20069664x1_sc14d9_102-items_pg52"/>
      <w:bookmarkStart w:id="41" w:name="ny20069664x1_sc14d9_102-items_pg51"/>
      <w:bookmarkStart w:id="42" w:name="ny20069664x1_sc14d9_102-items_pg50"/>
      <w:bookmarkStart w:id="43" w:name="ny20069664x1_sc14d9_103-item9_pg1"/>
      <w:bookmarkStart w:id="44" w:name="ny20069664x1_sc14d9_102-items_pg54"/>
      <w:bookmarkStart w:id="45" w:name="ny20069664x1_sc14d9_102-items_pg53"/>
      <w:bookmarkStart w:id="46" w:name="ny20069664x1_sc14d9_102-items_pg52"/>
      <w:bookmarkStart w:id="47" w:name="ny20069664x1_sc14d9_102-items_pg51"/>
      <w:bookmarkStart w:id="48" w:name="ny20069664x1_sc14d9_102-items_pg50"/>
      <w:bookmarkEnd w:id="43"/>
      <w:bookmarkEnd w:id="44"/>
      <w:bookmarkEnd w:id="45"/>
      <w:bookmarkEnd w:id="46"/>
      <w:bookmarkEnd w:id="47"/>
      <w:bookmarkEnd w:id="48"/>
    </w:p>
    <w:p>
      <w:pPr>
        <w:pStyle w:val="TextBody"/>
        <w:bidi w:val="0"/>
        <w:spacing w:before="0" w:after="0"/>
        <w:jc w:val="center"/>
        <w:rPr>
          <w:rFonts w:ascii="Times New Roman" w:hAnsi="Times New Roman"/>
          <w:b/>
          <w:color w:val="000000"/>
          <w:sz w:val="20"/>
        </w:rPr>
      </w:pPr>
      <w:bookmarkStart w:id="49" w:name="ny20069664x1_sc14d9_103-item9_pg2"/>
      <w:bookmarkEnd w:id="49"/>
      <w:r>
        <w:rPr>
          <w:rFonts w:ascii="Times New Roman" w:hAnsi="Times New Roman"/>
          <w:b/>
          <w:color w:val="000000"/>
          <w:sz w:val="20"/>
        </w:rPr>
        <w:t>SIGNATURE</w:t>
      </w:r>
    </w:p>
    <w:p>
      <w:pPr>
        <w:pStyle w:val="TextBody"/>
        <w:bidi w:val="0"/>
        <w:spacing w:before="0" w:after="0"/>
        <w:jc w:val="center"/>
        <w:rPr>
          <w:b/>
          <w:color w:val="000000"/>
        </w:rPr>
      </w:pPr>
      <w:r>
        <w:rPr>
          <w:b/>
          <w:color w:val="00000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After due inquiry and to the best of my knowledge and belief, I certify that the information set forth in this statement is true, complete and correct.</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zd72235cf40b445f0a44a7f833da99af5"/>
      <w:bookmarkStart w:id="51" w:name="zd72235cf40b445f0a44a7f833da99af5"/>
      <w:bookmarkEnd w:id="51"/>
    </w:p>
    <w:tbl>
      <w:tblPr>
        <w:tblW w:w="4080" w:type="dxa"/>
        <w:jc w:val="left"/>
        <w:tblInd w:w="0" w:type="dxa"/>
        <w:tblLayout w:type="fixed"/>
        <w:tblCellMar>
          <w:top w:w="0" w:type="dxa"/>
          <w:left w:w="0" w:type="dxa"/>
          <w:bottom w:w="0" w:type="dxa"/>
          <w:right w:w="0" w:type="dxa"/>
        </w:tblCellMar>
      </w:tblPr>
      <w:tblGrid>
        <w:gridCol w:w="365"/>
        <w:gridCol w:w="3575"/>
        <w:gridCol w:w="140"/>
      </w:tblGrid>
      <w:tr>
        <w:trPr/>
        <w:tc>
          <w:tcPr>
            <w:tcW w:w="3940" w:type="dxa"/>
            <w:gridSpan w:val="2"/>
            <w:tcBorders/>
            <w:vAlign w:val="center"/>
          </w:tcPr>
          <w:p>
            <w:pPr>
              <w:pStyle w:val="TableContents"/>
              <w:bidi w:val="0"/>
              <w:spacing w:before="0" w:after="0"/>
              <w:jc w:val="left"/>
              <w:rPr>
                <w:b/>
                <w:color w:val="000000"/>
              </w:rPr>
            </w:pPr>
            <w:r>
              <w:rPr>
                <w:b/>
                <w:color w:val="000000"/>
              </w:rPr>
              <w:t>Lisata Therapeutics, Inc.</w:t>
            </w:r>
          </w:p>
        </w:tc>
        <w:tc>
          <w:tcPr>
            <w:tcW w:w="140" w:type="dxa"/>
            <w:tcBorders/>
            <w:vAlign w:val="center"/>
          </w:tcPr>
          <w:p>
            <w:pPr>
              <w:pStyle w:val="TableContents"/>
              <w:bidi w:val="0"/>
              <w:spacing w:before="0" w:after="283"/>
              <w:jc w:val="left"/>
              <w:rPr/>
            </w:pPr>
            <w:r>
              <w:rPr/>
              <w:t> </w:t>
            </w:r>
          </w:p>
        </w:tc>
      </w:tr>
      <w:tr>
        <w:trPr/>
        <w:tc>
          <w:tcPr>
            <w:tcW w:w="3940" w:type="dxa"/>
            <w:gridSpan w:val="2"/>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r>
      <w:tr>
        <w:trPr/>
        <w:tc>
          <w:tcPr>
            <w:tcW w:w="365" w:type="dxa"/>
            <w:tcBorders/>
            <w:vAlign w:val="center"/>
          </w:tcPr>
          <w:p>
            <w:pPr>
              <w:pStyle w:val="TableContents"/>
              <w:bidi w:val="0"/>
              <w:spacing w:before="0" w:after="0"/>
              <w:jc w:val="left"/>
              <w:rPr>
                <w:color w:val="000000"/>
              </w:rPr>
            </w:pPr>
            <w:r>
              <w:rPr>
                <w:color w:val="000000"/>
              </w:rPr>
              <w:t>By:</w:t>
            </w:r>
          </w:p>
        </w:tc>
        <w:tc>
          <w:tcPr>
            <w:tcW w:w="3575" w:type="dxa"/>
            <w:tcBorders>
              <w:bottom w:val="single" w:sz="12" w:space="0" w:color="000000"/>
            </w:tcBorders>
            <w:tcMar>
              <w:bottom w:w="28" w:type="dxa"/>
            </w:tcMar>
            <w:vAlign w:val="center"/>
          </w:tcPr>
          <w:p>
            <w:pPr>
              <w:pStyle w:val="TableContents"/>
              <w:bidi w:val="0"/>
              <w:spacing w:before="0" w:after="0"/>
              <w:jc w:val="left"/>
              <w:rPr>
                <w:color w:val="000000"/>
                <w:sz w:val="20"/>
              </w:rPr>
            </w:pPr>
            <w:r>
              <w:rPr>
                <w:color w:val="000000"/>
                <w:sz w:val="20"/>
              </w:rPr>
              <w:t>/s/ David J. Mazzo</w:t>
            </w:r>
          </w:p>
        </w:tc>
        <w:tc>
          <w:tcPr>
            <w:tcW w:w="140" w:type="dxa"/>
            <w:tcBorders/>
            <w:vAlign w:val="center"/>
          </w:tcPr>
          <w:p>
            <w:pPr>
              <w:pStyle w:val="TableContents"/>
              <w:bidi w:val="0"/>
              <w:spacing w:before="0" w:after="0"/>
              <w:jc w:val="left"/>
              <w:rPr/>
            </w:pPr>
            <w:r>
              <w:rPr/>
              <w:t> </w:t>
            </w:r>
          </w:p>
        </w:tc>
      </w:tr>
      <w:tr>
        <w:trPr/>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color w:val="000000"/>
                <w:sz w:val="20"/>
              </w:rPr>
            </w:pPr>
            <w:r>
              <w:rPr>
                <w:color w:val="000000"/>
                <w:sz w:val="20"/>
              </w:rPr>
              <w:t>Name: David J. Mazzo, PhD</w:t>
            </w:r>
          </w:p>
        </w:tc>
        <w:tc>
          <w:tcPr>
            <w:tcW w:w="140" w:type="dxa"/>
            <w:tcBorders/>
            <w:vAlign w:val="center"/>
          </w:tcPr>
          <w:p>
            <w:pPr>
              <w:pStyle w:val="TableContents"/>
              <w:bidi w:val="0"/>
              <w:spacing w:before="0" w:after="0"/>
              <w:jc w:val="left"/>
              <w:rPr/>
            </w:pPr>
            <w:r>
              <w:rPr/>
              <w:t> </w:t>
            </w:r>
          </w:p>
        </w:tc>
      </w:tr>
      <w:tr>
        <w:trPr/>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color w:val="000000"/>
                <w:sz w:val="20"/>
              </w:rPr>
            </w:pPr>
            <w:r>
              <w:rPr>
                <w:color w:val="000000"/>
                <w:sz w:val="20"/>
              </w:rPr>
              <w:t>Title: President and Chief Executive Officer</w:t>
            </w:r>
          </w:p>
        </w:tc>
        <w:tc>
          <w:tcPr>
            <w:tcW w:w="140" w:type="dxa"/>
            <w:tcBorders/>
            <w:vAlign w:val="center"/>
          </w:tcPr>
          <w:p>
            <w:pPr>
              <w:pStyle w:val="TableContents"/>
              <w:bidi w:val="0"/>
              <w:spacing w:before="0" w:after="0"/>
              <w:jc w:val="left"/>
              <w:rPr/>
            </w:pPr>
            <w:r>
              <w:rPr/>
              <w:t> </w:t>
            </w:r>
          </w:p>
        </w:tc>
      </w:tr>
      <w:tr>
        <w:trPr/>
        <w:tc>
          <w:tcPr>
            <w:tcW w:w="3940" w:type="dxa"/>
            <w:gridSpan w:val="2"/>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r>
      <w:tr>
        <w:trPr/>
        <w:tc>
          <w:tcPr>
            <w:tcW w:w="3940" w:type="dxa"/>
            <w:gridSpan w:val="2"/>
            <w:tcBorders/>
            <w:vAlign w:val="center"/>
          </w:tcPr>
          <w:p>
            <w:pPr>
              <w:pStyle w:val="TableContents"/>
              <w:bidi w:val="0"/>
              <w:spacing w:before="0" w:after="0"/>
              <w:jc w:val="left"/>
              <w:rPr>
                <w:color w:val="000000"/>
              </w:rPr>
            </w:pPr>
            <w:r>
              <w:rPr>
                <w:color w:val="000000"/>
              </w:rPr>
              <w:t>Dated: July 21, 2026</w:t>
            </w:r>
          </w:p>
        </w:tc>
        <w:tc>
          <w:tcPr>
            <w:tcW w:w="140" w:type="dxa"/>
            <w:tcBorders/>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992</Words>
  <Characters>5226</Characters>
  <CharactersWithSpaces>6192</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